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37" w:rsidRPr="009E1637" w:rsidRDefault="009E1637" w:rsidP="009E1637">
      <w:pPr>
        <w:contextualSpacing w:val="0"/>
        <w:rPr>
          <w:rFonts w:ascii="inherit" w:eastAsia="Times New Roman" w:hAnsi="inherit" w:cs="Times New Roman"/>
          <w:b/>
          <w:bCs/>
          <w:kern w:val="36"/>
          <w:sz w:val="25"/>
          <w:szCs w:val="53"/>
        </w:rPr>
      </w:pPr>
      <w:r w:rsidRPr="009E1637">
        <w:rPr>
          <w:rFonts w:ascii="Times New Roman" w:eastAsia="Times New Roman" w:hAnsi="Times New Roman" w:cs="Times New Roman"/>
          <w:noProof/>
          <w:sz w:val="2"/>
          <w:szCs w:val="24"/>
        </w:rPr>
        <w:drawing>
          <wp:anchor distT="0" distB="0" distL="114300" distR="114300" simplePos="0" relativeHeight="251658240" behindDoc="0" locked="0" layoutInCell="1" allowOverlap="1">
            <wp:simplePos x="0" y="0"/>
            <wp:positionH relativeFrom="column">
              <wp:posOffset>-713232</wp:posOffset>
            </wp:positionH>
            <wp:positionV relativeFrom="paragraph">
              <wp:posOffset>305</wp:posOffset>
            </wp:positionV>
            <wp:extent cx="7315200" cy="2743200"/>
            <wp:effectExtent l="0" t="0" r="0" b="0"/>
            <wp:wrapSquare wrapText="bothSides"/>
            <wp:docPr id="2" name="Picture 2" descr="Pre-Employment Drug Testing Laws by St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Employment Drug Testing Laws by Stat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2743200"/>
                    </a:xfrm>
                    <a:prstGeom prst="rect">
                      <a:avLst/>
                    </a:prstGeom>
                    <a:noFill/>
                    <a:ln>
                      <a:noFill/>
                    </a:ln>
                  </pic:spPr>
                </pic:pic>
              </a:graphicData>
            </a:graphic>
          </wp:anchor>
        </w:drawing>
      </w:r>
    </w:p>
    <w:p w:rsidR="009E1637" w:rsidRPr="009E1637" w:rsidRDefault="009E1637" w:rsidP="009E1637">
      <w:pPr>
        <w:contextualSpacing w:val="0"/>
        <w:rPr>
          <w:rFonts w:ascii="inherit" w:eastAsia="Times New Roman" w:hAnsi="inherit" w:cs="Times New Roman"/>
          <w:b/>
          <w:bCs/>
          <w:kern w:val="36"/>
          <w:sz w:val="53"/>
          <w:szCs w:val="53"/>
        </w:rPr>
      </w:pPr>
      <w:r w:rsidRPr="009E1637">
        <w:rPr>
          <w:rFonts w:ascii="inherit" w:eastAsia="Times New Roman" w:hAnsi="inherit" w:cs="Times New Roman"/>
          <w:b/>
          <w:bCs/>
          <w:kern w:val="36"/>
          <w:sz w:val="53"/>
          <w:szCs w:val="53"/>
        </w:rPr>
        <w:t xml:space="preserve">Pre-Employment Drug Testing Laws </w:t>
      </w:r>
      <w:r>
        <w:rPr>
          <w:rFonts w:ascii="inherit" w:eastAsia="Times New Roman" w:hAnsi="inherit" w:cs="Times New Roman"/>
          <w:b/>
          <w:bCs/>
          <w:kern w:val="36"/>
          <w:sz w:val="53"/>
          <w:szCs w:val="53"/>
        </w:rPr>
        <w:t>b</w:t>
      </w:r>
      <w:r w:rsidRPr="009E1637">
        <w:rPr>
          <w:rFonts w:ascii="inherit" w:eastAsia="Times New Roman" w:hAnsi="inherit" w:cs="Times New Roman"/>
          <w:b/>
          <w:bCs/>
          <w:kern w:val="36"/>
          <w:sz w:val="53"/>
          <w:szCs w:val="53"/>
        </w:rPr>
        <w:t>y State</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The job market continues to be very tight, and companies are increasingly coming to terms with the fact that finding and hiring top talent isn’t as easy as it once was. With so many states (33 at last count) legalizing medical and/or recreational marijuana, the pros and cons of drug or alcohol testing job applicants has become something of a hot topic. Marijuana accounts for </w:t>
      </w:r>
      <w:hyperlink r:id="rId6" w:history="1">
        <w:r w:rsidRPr="009E1637">
          <w:rPr>
            <w:rFonts w:ascii="Arial" w:eastAsia="Times New Roman" w:hAnsi="Arial" w:cs="Arial"/>
            <w:color w:val="F37321"/>
            <w:szCs w:val="24"/>
          </w:rPr>
          <w:t>nearly half of all positive drug test results</w:t>
        </w:r>
      </w:hyperlink>
      <w:r w:rsidRPr="009E1637">
        <w:rPr>
          <w:rFonts w:ascii="Arial" w:eastAsia="Times New Roman" w:hAnsi="Arial" w:cs="Arial"/>
          <w:color w:val="6D6E71"/>
          <w:szCs w:val="24"/>
        </w:rPr>
        <w:t>. </w:t>
      </w:r>
      <w:r w:rsidRPr="009E1637">
        <w:rPr>
          <w:rFonts w:ascii="Arial" w:eastAsia="Times New Roman" w:hAnsi="Arial" w:cs="Arial"/>
          <w:b/>
          <w:bCs/>
          <w:color w:val="6D6E71"/>
          <w:szCs w:val="24"/>
        </w:rPr>
        <w:t>The rate of marijuana positives in the general U.S. workforce increased nearly 8% in urine testing (2.6% in 2017 vs. 2.8% in 2018) and almost 17% since 2014.</w:t>
      </w:r>
      <w:r w:rsidRPr="009E1637">
        <w:rPr>
          <w:rFonts w:ascii="Arial" w:eastAsia="Times New Roman" w:hAnsi="Arial" w:cs="Arial"/>
          <w:color w:val="6D6E71"/>
          <w:szCs w:val="24"/>
        </w:rPr>
        <w:t xml:space="preserve"> So, the question that you might be grappling with is: Do I really want to limit my talent pools by requiring that every prospective employee be tested? Because you can’t pick and choose; if you have a drug testing policy, it </w:t>
      </w:r>
      <w:proofErr w:type="gramStart"/>
      <w:r w:rsidRPr="009E1637">
        <w:rPr>
          <w:rFonts w:ascii="Arial" w:eastAsia="Times New Roman" w:hAnsi="Arial" w:cs="Arial"/>
          <w:color w:val="6D6E71"/>
          <w:szCs w:val="24"/>
        </w:rPr>
        <w:t>has to</w:t>
      </w:r>
      <w:proofErr w:type="gramEnd"/>
      <w:r w:rsidRPr="009E1637">
        <w:rPr>
          <w:rFonts w:ascii="Arial" w:eastAsia="Times New Roman" w:hAnsi="Arial" w:cs="Arial"/>
          <w:color w:val="6D6E71"/>
          <w:szCs w:val="24"/>
        </w:rPr>
        <w:t xml:space="preserve"> apply to all applicants, not just a select few. Check out our table for a high-level overview of state laws for applicant drug testing.</w:t>
      </w:r>
    </w:p>
    <w:p w:rsidR="009E1637" w:rsidRPr="009E1637" w:rsidRDefault="009E1637" w:rsidP="009E1637">
      <w:pPr>
        <w:shd w:val="clear" w:color="auto" w:fill="FFFFFF"/>
        <w:spacing w:before="330" w:after="165" w:line="412" w:lineRule="atLeast"/>
        <w:contextualSpacing w:val="0"/>
        <w:outlineLvl w:val="2"/>
        <w:rPr>
          <w:rFonts w:ascii="Arial" w:eastAsia="Times New Roman" w:hAnsi="Arial" w:cs="Arial"/>
          <w:color w:val="4472C4" w:themeColor="accent1"/>
          <w:sz w:val="31"/>
          <w:szCs w:val="31"/>
        </w:rPr>
      </w:pPr>
      <w:r w:rsidRPr="009E1637">
        <w:rPr>
          <w:rFonts w:ascii="Arial" w:eastAsia="Times New Roman" w:hAnsi="Arial" w:cs="Arial"/>
          <w:b/>
          <w:bCs/>
          <w:color w:val="4472C4" w:themeColor="accent1"/>
          <w:sz w:val="31"/>
          <w:szCs w:val="31"/>
        </w:rPr>
        <w:t>State-by-State Pre-Employment Drug Testing Laws</w:t>
      </w:r>
    </w:p>
    <w:tbl>
      <w:tblPr>
        <w:tblW w:w="11220" w:type="dxa"/>
        <w:tblCellMar>
          <w:top w:w="15" w:type="dxa"/>
          <w:left w:w="15" w:type="dxa"/>
          <w:bottom w:w="15" w:type="dxa"/>
          <w:right w:w="15" w:type="dxa"/>
        </w:tblCellMar>
        <w:tblLook w:val="04A0" w:firstRow="1" w:lastRow="0" w:firstColumn="1" w:lastColumn="0" w:noHBand="0" w:noVBand="1"/>
      </w:tblPr>
      <w:tblGrid>
        <w:gridCol w:w="11220"/>
      </w:tblGrid>
      <w:tr w:rsidR="009E1637" w:rsidRPr="009E1637" w:rsidTr="009E1637">
        <w:tc>
          <w:tcPr>
            <w:tcW w:w="0" w:type="auto"/>
            <w:shd w:val="clear" w:color="auto" w:fill="auto"/>
            <w:vAlign w:val="center"/>
            <w:hideMark/>
          </w:tcPr>
          <w:p w:rsidR="009E1637" w:rsidRPr="009E1637" w:rsidRDefault="009E1637" w:rsidP="009E1637">
            <w:pPr>
              <w:contextualSpacing w:val="0"/>
              <w:rPr>
                <w:rFonts w:ascii="Arial" w:eastAsia="Times New Roman" w:hAnsi="Arial" w:cs="Arial"/>
                <w:b/>
                <w:bCs/>
                <w:color w:val="6D6E71"/>
                <w:sz w:val="31"/>
                <w:szCs w:val="31"/>
              </w:rPr>
            </w:pPr>
          </w:p>
        </w:tc>
      </w:tr>
    </w:tbl>
    <w:p w:rsidR="009E1637" w:rsidRPr="009E1637" w:rsidRDefault="009E1637" w:rsidP="009E1637">
      <w:pPr>
        <w:shd w:val="clear" w:color="auto" w:fill="FFFFFF"/>
        <w:contextualSpacing w:val="0"/>
        <w:rPr>
          <w:rFonts w:ascii="Arial" w:eastAsia="Times New Roman" w:hAnsi="Arial" w:cs="Arial"/>
          <w:vanish/>
          <w:color w:val="6D6E71"/>
          <w:szCs w:val="24"/>
        </w:rPr>
      </w:pPr>
    </w:p>
    <w:tbl>
      <w:tblPr>
        <w:tblW w:w="900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38"/>
        <w:gridCol w:w="2307"/>
        <w:gridCol w:w="3242"/>
        <w:gridCol w:w="1713"/>
      </w:tblGrid>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F47321"/>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State </w:t>
            </w:r>
          </w:p>
        </w:tc>
        <w:tc>
          <w:tcPr>
            <w:tcW w:w="0" w:type="auto"/>
            <w:tcBorders>
              <w:top w:val="outset" w:sz="6" w:space="0" w:color="auto"/>
              <w:left w:val="outset" w:sz="6" w:space="0" w:color="auto"/>
              <w:bottom w:val="outset" w:sz="6" w:space="0" w:color="auto"/>
              <w:right w:val="outset" w:sz="6" w:space="0" w:color="auto"/>
            </w:tcBorders>
            <w:shd w:val="clear" w:color="auto" w:fill="F47321"/>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Covered Employers </w:t>
            </w:r>
          </w:p>
        </w:tc>
        <w:tc>
          <w:tcPr>
            <w:tcW w:w="0" w:type="auto"/>
            <w:tcBorders>
              <w:top w:val="outset" w:sz="6" w:space="0" w:color="auto"/>
              <w:left w:val="outset" w:sz="6" w:space="0" w:color="auto"/>
              <w:bottom w:val="outset" w:sz="6" w:space="0" w:color="auto"/>
              <w:right w:val="outset" w:sz="6" w:space="0" w:color="auto"/>
            </w:tcBorders>
            <w:shd w:val="clear" w:color="auto" w:fill="F47321"/>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Provisions </w:t>
            </w:r>
          </w:p>
        </w:tc>
        <w:tc>
          <w:tcPr>
            <w:tcW w:w="0" w:type="auto"/>
            <w:tcBorders>
              <w:top w:val="outset" w:sz="6" w:space="0" w:color="auto"/>
              <w:left w:val="outset" w:sz="6" w:space="0" w:color="auto"/>
              <w:bottom w:val="outset" w:sz="6" w:space="0" w:color="auto"/>
              <w:right w:val="outset" w:sz="6" w:space="0" w:color="auto"/>
            </w:tcBorders>
            <w:shd w:val="clear" w:color="auto" w:fill="F47321"/>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Medical or Recreational Marijuana Legal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Alabama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drug-testing policy and a conditional employment offer.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lastRenderedPageBreak/>
              <w:t>Alaska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including school districts or regional educational attendance areas.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Positive results or refusal may be grounds for not hiring.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Arizona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private employers, plus school districts and entities that furnish transportation to school districts.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 testing policy. Refusal to submit to a drug test can be basis for not hiring. Testing is required for school bus driver certification.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Arkansas</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California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Agencies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for applicants to positions of sensitivity in state agencies if testing is job related. Testing is required for public transportation drivers.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Colorado</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Connecticut</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drug-testing policy. Cannot test former employees unless they have been gone for at least 12 months. Testing is required for school bus driver certification.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Delaware</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schools and school transportation; Department of Corrections.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is required for school bus driver certification and for security positions at Department of Corrections.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District of Columbia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Florida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Private employers with 3 or more employees. Public employers with safety-sensitive and law enforcement positions.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 testing policy. Refusal to submit to a drug test can be basis for not hiring.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lastRenderedPageBreak/>
              <w:t>Georgia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government employers, public schools, and companies that furnish school transportation;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authorized for applicants of state government, public schools, and private companies. Refusal to submit to a drug test or a positive test result may disqualify applicant from state and public-school employment for two years.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Hawaii</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 testing policy and has opportunity to disclose current prescription and nonprescription drugs being taken. Testing required for civil service applicants with city of Honolulu.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Idaho</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Illinois</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Indiana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Iowa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if applicant is informed at the time of application that a drug test is required. Ads and applications must carry notice of drug test.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Kansas</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government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for applicants to safety-sensitive jobs after a job offer has been made. Ads for safety-sensitive jobs must carry notice of drug test.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Kentucky</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Louisiana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not subject to a federally mandated testing program.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Maine</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Testing permitted after applicant receives drug testing </w:t>
            </w:r>
            <w:r w:rsidRPr="009E1637">
              <w:rPr>
                <w:rFonts w:ascii="Times New Roman" w:eastAsia="Times New Roman" w:hAnsi="Times New Roman" w:cs="Times New Roman"/>
                <w:szCs w:val="24"/>
              </w:rPr>
              <w:lastRenderedPageBreak/>
              <w:t>policy. Refusal to submit to a drug test or a positive test result can be basis for not hiring.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lastRenderedPageBreak/>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Maryland</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Massachusetts</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Michigan</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Minnesota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after applicant receives drug-testing policy and a conditional employment offer and only if all job candidates are tested.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Mississippi</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Missouri</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Montana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for applicants to intrastate transport jobs, hazardous environments jobs, or positions with security, public safety, or fiduciary responsibility.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Nebraska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Private employers with six or more employees and public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Nevada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agencies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for public safety jobs.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New Hampshire</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New Jersey</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New Mexico</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New York</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New York City bans pre-employment screening for marijuana use except for safety </w:t>
            </w:r>
            <w:r w:rsidRPr="009E1637">
              <w:rPr>
                <w:rFonts w:ascii="Times New Roman" w:eastAsia="Times New Roman" w:hAnsi="Times New Roman" w:cs="Times New Roman"/>
                <w:szCs w:val="24"/>
              </w:rPr>
              <w:lastRenderedPageBreak/>
              <w:t>and security sensitive jobs and jobs bound by a federal or state contract or grant.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lastRenderedPageBreak/>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North Carolina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North Dakota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Ohio</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Applicant testing authorized with </w:t>
            </w:r>
            <w:proofErr w:type="gramStart"/>
            <w:r w:rsidRPr="009E1637">
              <w:rPr>
                <w:rFonts w:ascii="Times New Roman" w:eastAsia="Times New Roman" w:hAnsi="Times New Roman" w:cs="Times New Roman"/>
                <w:szCs w:val="24"/>
              </w:rPr>
              <w:t>advance notice</w:t>
            </w:r>
            <w:proofErr w:type="gramEnd"/>
            <w:r w:rsidRPr="009E1637">
              <w:rPr>
                <w:rFonts w:ascii="Times New Roman" w:eastAsia="Times New Roman" w:hAnsi="Times New Roman" w:cs="Times New Roman"/>
                <w:szCs w:val="24"/>
              </w:rPr>
              <w:t xml:space="preserve"> to applicant and after offer of employment has been made.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Oklahoma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Applicant testing authorized with </w:t>
            </w:r>
            <w:proofErr w:type="gramStart"/>
            <w:r w:rsidRPr="009E1637">
              <w:rPr>
                <w:rFonts w:ascii="Times New Roman" w:eastAsia="Times New Roman" w:hAnsi="Times New Roman" w:cs="Times New Roman"/>
                <w:szCs w:val="24"/>
              </w:rPr>
              <w:t>advance notice</w:t>
            </w:r>
            <w:proofErr w:type="gramEnd"/>
            <w:r w:rsidRPr="009E1637">
              <w:rPr>
                <w:rFonts w:ascii="Times New Roman" w:eastAsia="Times New Roman" w:hAnsi="Times New Roman" w:cs="Times New Roman"/>
                <w:szCs w:val="24"/>
              </w:rPr>
              <w:t xml:space="preserve"> to applicant and after offer of employment has been made. Notice must be in writing, describing methods, procedures, and policies in detail.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Oregon</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permitted if reasonable suspicion exists that applicant is under the influence of alcohol or controlled substance.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Pennsylvania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Rhode Island</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Private sector applicant testing permitted only after offer of employment has been made. Public sector testing permitted for jobs involving public safety or when required by federal law.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South Carolina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All employers S.C. Code § 1-13-30.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South Dakota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government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Testing permitted for applicants to safety- sensitive state jobs only after offer of employment has been made. Public announcements and ads must </w:t>
            </w:r>
            <w:r w:rsidRPr="009E1637">
              <w:rPr>
                <w:rFonts w:ascii="Times New Roman" w:eastAsia="Times New Roman" w:hAnsi="Times New Roman" w:cs="Times New Roman"/>
                <w:szCs w:val="24"/>
              </w:rPr>
              <w:lastRenderedPageBreak/>
              <w:t>carry notice of drug testing requirements.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lastRenderedPageBreak/>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Tennessee</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State Dept. of Corrections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not restricted.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Texas</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Utah</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Private employers, local government entities, and state institutions of higher education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 xml:space="preserve">Testing not restricted in the private sector. Local governments and state colleges can test applicants with </w:t>
            </w:r>
            <w:proofErr w:type="gramStart"/>
            <w:r w:rsidRPr="009E1637">
              <w:rPr>
                <w:rFonts w:ascii="Times New Roman" w:eastAsia="Times New Roman" w:hAnsi="Times New Roman" w:cs="Times New Roman"/>
                <w:szCs w:val="24"/>
              </w:rPr>
              <w:t>advance notice</w:t>
            </w:r>
            <w:proofErr w:type="gramEnd"/>
            <w:r w:rsidRPr="009E1637">
              <w:rPr>
                <w:rFonts w:ascii="Times New Roman" w:eastAsia="Times New Roman" w:hAnsi="Times New Roman" w:cs="Times New Roman"/>
                <w:szCs w:val="24"/>
              </w:rPr>
              <w:t xml:space="preserve"> and a written policy. Refusal to submit to a drug test or a positive test result can be basis for not hiring.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Vermont</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Public and private employers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authorized with advance written notice to applicant, after conditional offer of employment has been made, and if test is part of pre-employment physical.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Virginia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Washington</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Private employers seeking to qualify for a 5% workers' comp. premium discount, with approval by state authorities.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Testing authorized with advance written notice and after conditional offer of employment has been made.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and Recreational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West Virginia</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Medical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Wisconsin</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r w:rsidR="009E1637" w:rsidRPr="009E1637" w:rsidTr="009E163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b/>
                <w:bCs/>
                <w:szCs w:val="24"/>
              </w:rPr>
              <w:t>Wyoming</w:t>
            </w:r>
            <w:r w:rsidRPr="009E1637">
              <w:rPr>
                <w:rFonts w:ascii="Times New Roman" w:eastAsia="Times New Roman" w:hAnsi="Times New Roman" w:cs="Times New Roman"/>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No state laws; follows federal law where required.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1637" w:rsidRPr="009E1637" w:rsidRDefault="009E1637" w:rsidP="009E1637">
            <w:pPr>
              <w:contextualSpacing w:val="0"/>
              <w:rPr>
                <w:rFonts w:ascii="Times New Roman" w:eastAsia="Times New Roman" w:hAnsi="Times New Roman" w:cs="Times New Roman"/>
                <w:szCs w:val="24"/>
              </w:rPr>
            </w:pPr>
            <w:r w:rsidRPr="009E1637">
              <w:rPr>
                <w:rFonts w:ascii="Times New Roman" w:eastAsia="Times New Roman" w:hAnsi="Times New Roman" w:cs="Times New Roman"/>
                <w:szCs w:val="24"/>
              </w:rPr>
              <w:t>N/A  </w:t>
            </w:r>
          </w:p>
        </w:tc>
      </w:tr>
    </w:tbl>
    <w:p w:rsidR="009E1637" w:rsidRPr="009E1637" w:rsidRDefault="009E1637" w:rsidP="009E1637">
      <w:pPr>
        <w:shd w:val="clear" w:color="auto" w:fill="FFFFFF"/>
        <w:spacing w:before="330" w:after="165" w:line="412" w:lineRule="atLeast"/>
        <w:contextualSpacing w:val="0"/>
        <w:outlineLvl w:val="2"/>
        <w:rPr>
          <w:rFonts w:ascii="Arial" w:eastAsia="Times New Roman" w:hAnsi="Arial" w:cs="Arial"/>
          <w:color w:val="4472C4" w:themeColor="accent1"/>
          <w:sz w:val="31"/>
          <w:szCs w:val="31"/>
        </w:rPr>
      </w:pPr>
      <w:r w:rsidRPr="009E1637">
        <w:rPr>
          <w:rFonts w:ascii="Arial" w:eastAsia="Times New Roman" w:hAnsi="Arial" w:cs="Arial"/>
          <w:b/>
          <w:bCs/>
          <w:color w:val="4472C4" w:themeColor="accent1"/>
          <w:sz w:val="31"/>
          <w:szCs w:val="31"/>
        </w:rPr>
        <w:t>Federal Drug Testing Laws</w:t>
      </w:r>
    </w:p>
    <w:p w:rsidR="009E1637" w:rsidRPr="009E1637" w:rsidRDefault="009E1637" w:rsidP="009E1637">
      <w:pPr>
        <w:contextualSpacing w:val="0"/>
        <w:rPr>
          <w:rFonts w:ascii="Times New Roman" w:eastAsia="Times New Roman" w:hAnsi="Times New Roman" w:cs="Times New Roman"/>
          <w:szCs w:val="24"/>
        </w:rPr>
      </w:pPr>
      <w:r w:rsidRPr="009E1637">
        <w:rPr>
          <w:rFonts w:ascii="Arial" w:eastAsia="Times New Roman" w:hAnsi="Arial" w:cs="Arial"/>
          <w:color w:val="6D6E71"/>
          <w:szCs w:val="24"/>
          <w:shd w:val="clear" w:color="auto" w:fill="FFFFFF"/>
        </w:rPr>
        <w:t xml:space="preserve">Job applicants or employees in positions such as airline pilots, bus drivers, railroad employees, taxi drivers, and truck drivers are regulated by the Department of Transportation and must comply with federal laws, which require applicants to take and </w:t>
      </w:r>
      <w:r w:rsidRPr="009E1637">
        <w:rPr>
          <w:rFonts w:ascii="Arial" w:eastAsia="Times New Roman" w:hAnsi="Arial" w:cs="Arial"/>
          <w:color w:val="6D6E71"/>
          <w:szCs w:val="24"/>
          <w:shd w:val="clear" w:color="auto" w:fill="FFFFFF"/>
        </w:rPr>
        <w:lastRenderedPageBreak/>
        <w:t>pass a pre-employment urine test. If a person in one of these positions is ever in an accident on the job, they will also be required to take a post-accident drug test.</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The Department of Defense (DOD) created drug testing laws for contractors who work in positions responsible for national security, </w:t>
      </w:r>
      <w:hyperlink r:id="rId7" w:anchor="sp48.3.223.223_15" w:history="1">
        <w:r w:rsidRPr="009E1637">
          <w:rPr>
            <w:rFonts w:ascii="Arial" w:eastAsia="Times New Roman" w:hAnsi="Arial" w:cs="Arial"/>
            <w:color w:val="F37321"/>
            <w:szCs w:val="24"/>
          </w:rPr>
          <w:t>Drug-Free Workplace, 42 Code of Federal Regulations (CFR) 223.5</w:t>
        </w:r>
      </w:hyperlink>
      <w:r w:rsidRPr="009E1637">
        <w:rPr>
          <w:rFonts w:ascii="Arial" w:eastAsia="Times New Roman" w:hAnsi="Arial" w:cs="Arial"/>
          <w:color w:val="6D6E71"/>
          <w:szCs w:val="24"/>
        </w:rPr>
        <w:t>. To comply with the rules, every DOD contractor who has any type of security clearance or access to classified information must have a drug-free workplace policy that includes:</w:t>
      </w:r>
    </w:p>
    <w:p w:rsidR="009E1637" w:rsidRPr="009E1637" w:rsidRDefault="009E1637" w:rsidP="009E1637">
      <w:pPr>
        <w:numPr>
          <w:ilvl w:val="0"/>
          <w:numId w:val="2"/>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An </w:t>
      </w:r>
      <w:hyperlink r:id="rId8" w:history="1">
        <w:r w:rsidRPr="009E1637">
          <w:rPr>
            <w:rFonts w:ascii="Arial" w:eastAsia="Times New Roman" w:hAnsi="Arial" w:cs="Arial"/>
            <w:color w:val="F37321"/>
            <w:szCs w:val="24"/>
          </w:rPr>
          <w:t>employee assistance plan (EAP)</w:t>
        </w:r>
      </w:hyperlink>
      <w:r w:rsidRPr="009E1637">
        <w:rPr>
          <w:rFonts w:ascii="Arial" w:eastAsia="Times New Roman" w:hAnsi="Arial" w:cs="Arial"/>
          <w:color w:val="6D6E71"/>
          <w:szCs w:val="24"/>
        </w:rPr>
        <w:t> that coordinates with local resources such as a drug rehab facility</w:t>
      </w:r>
    </w:p>
    <w:p w:rsidR="009E1637" w:rsidRPr="009E1637" w:rsidRDefault="009E1637" w:rsidP="009E1637">
      <w:pPr>
        <w:numPr>
          <w:ilvl w:val="0"/>
          <w:numId w:val="2"/>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A stipulation that an employee can self-refer and that supervisors also can refer for drug abuse treatment</w:t>
      </w:r>
    </w:p>
    <w:p w:rsidR="009E1637" w:rsidRPr="009E1637" w:rsidRDefault="009E1637" w:rsidP="009E1637">
      <w:pPr>
        <w:numPr>
          <w:ilvl w:val="0"/>
          <w:numId w:val="2"/>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Training for supervisors to help them understand how to detect and respond to illegal drug use</w:t>
      </w:r>
    </w:p>
    <w:p w:rsidR="009E1637" w:rsidRPr="009E1637" w:rsidRDefault="009E1637" w:rsidP="009E1637">
      <w:pPr>
        <w:numPr>
          <w:ilvl w:val="0"/>
          <w:numId w:val="2"/>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A formal and supervised employee drug testing policy</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 xml:space="preserve">DOD rules also require contractors to confirm that drug testing policies </w:t>
      </w:r>
      <w:proofErr w:type="gramStart"/>
      <w:r w:rsidRPr="009E1637">
        <w:rPr>
          <w:rFonts w:ascii="Arial" w:eastAsia="Times New Roman" w:hAnsi="Arial" w:cs="Arial"/>
          <w:color w:val="6D6E71"/>
          <w:szCs w:val="24"/>
        </w:rPr>
        <w:t>are in compliance with</w:t>
      </w:r>
      <w:proofErr w:type="gramEnd"/>
      <w:r w:rsidRPr="009E1637">
        <w:rPr>
          <w:rFonts w:ascii="Arial" w:eastAsia="Times New Roman" w:hAnsi="Arial" w:cs="Arial"/>
          <w:color w:val="6D6E71"/>
          <w:szCs w:val="24"/>
        </w:rPr>
        <w:t xml:space="preserve"> applicable state’s laws and also ensure that all labor unions have agreed to the policies.</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With a few exceptions (e.g., companies that are awarded federal contracts), private businesses aren’t mandated to test job applicants who make it to the hiring stage, but many do because they receive a discount on their Workers’ Compensation Insurance.</w:t>
      </w:r>
    </w:p>
    <w:p w:rsidR="009E1637" w:rsidRPr="009E1637" w:rsidRDefault="009E1637" w:rsidP="009E1637">
      <w:pPr>
        <w:shd w:val="clear" w:color="auto" w:fill="FFFFFF"/>
        <w:spacing w:before="330" w:after="165" w:line="412" w:lineRule="atLeast"/>
        <w:contextualSpacing w:val="0"/>
        <w:outlineLvl w:val="2"/>
        <w:rPr>
          <w:rFonts w:ascii="Arial" w:eastAsia="Times New Roman" w:hAnsi="Arial" w:cs="Arial"/>
          <w:color w:val="4472C4" w:themeColor="accent1"/>
          <w:sz w:val="31"/>
          <w:szCs w:val="31"/>
        </w:rPr>
      </w:pPr>
      <w:r w:rsidRPr="009E1637">
        <w:rPr>
          <w:rFonts w:ascii="Arial" w:eastAsia="Times New Roman" w:hAnsi="Arial" w:cs="Arial"/>
          <w:b/>
          <w:bCs/>
          <w:color w:val="4472C4" w:themeColor="accent1"/>
          <w:sz w:val="31"/>
          <w:szCs w:val="31"/>
        </w:rPr>
        <w:t>The “Just Say No” Era</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proofErr w:type="gramStart"/>
      <w:r w:rsidRPr="009E1637">
        <w:rPr>
          <w:rFonts w:ascii="Arial" w:eastAsia="Times New Roman" w:hAnsi="Arial" w:cs="Arial"/>
          <w:color w:val="6D6E71"/>
          <w:szCs w:val="24"/>
        </w:rPr>
        <w:t>The majority of</w:t>
      </w:r>
      <w:proofErr w:type="gramEnd"/>
      <w:r w:rsidRPr="009E1637">
        <w:rPr>
          <w:rFonts w:ascii="Arial" w:eastAsia="Times New Roman" w:hAnsi="Arial" w:cs="Arial"/>
          <w:color w:val="6D6E71"/>
          <w:szCs w:val="24"/>
        </w:rPr>
        <w:t xml:space="preserve"> today’s drug testing mindset dates back to the Reagan administration, when many companies implemented “drug-free workplace” policies under the United States government’s </w:t>
      </w:r>
      <w:hyperlink r:id="rId9" w:history="1">
        <w:r w:rsidRPr="009E1637">
          <w:rPr>
            <w:rFonts w:ascii="Arial" w:eastAsia="Times New Roman" w:hAnsi="Arial" w:cs="Arial"/>
            <w:color w:val="F37321"/>
            <w:szCs w:val="24"/>
          </w:rPr>
          <w:t>Drug-Free Workplace Act of 1988</w:t>
        </w:r>
      </w:hyperlink>
      <w:r w:rsidRPr="009E1637">
        <w:rPr>
          <w:rFonts w:ascii="Arial" w:eastAsia="Times New Roman" w:hAnsi="Arial" w:cs="Arial"/>
          <w:color w:val="6D6E71"/>
          <w:szCs w:val="24"/>
        </w:rPr>
        <w:t>. The act essentially says that any company that gets federal contracts or grants must be a drug-free workplace, or it could lose its federal funding. Pre-employment testing is a key part of the policy.</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There’s no question that alcohol and drug use among certain professions can be a dangerous proposition. It can affect judgment and concentration and may put companies at risk for a lawsuit. The </w:t>
      </w:r>
      <w:hyperlink r:id="rId10" w:history="1">
        <w:r w:rsidRPr="009E1637">
          <w:rPr>
            <w:rFonts w:ascii="Arial" w:eastAsia="Times New Roman" w:hAnsi="Arial" w:cs="Arial"/>
            <w:color w:val="F37321"/>
            <w:szCs w:val="24"/>
          </w:rPr>
          <w:t>National Council on Alcoholism and Drug Dependence</w:t>
        </w:r>
      </w:hyperlink>
      <w:r w:rsidRPr="009E1637">
        <w:rPr>
          <w:rFonts w:ascii="Arial" w:eastAsia="Times New Roman" w:hAnsi="Arial" w:cs="Arial"/>
          <w:color w:val="6D6E71"/>
          <w:szCs w:val="24"/>
        </w:rPr>
        <w:t> estimates that employee use of drugs and alcohol has resulted in annual losses of $81 billion. According to Executive Order 12564, federal employees who are involved in national security, law enforcement, protecting life and property, and public health are subject to mandatory drug testing.</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Of course, state laws vary when it comes to conducting a test for drugs or alcohol in the workplace or as a pre-employment screening (which is why we created our easy-reference table).</w:t>
      </w:r>
    </w:p>
    <w:p w:rsidR="009E1637" w:rsidRPr="009E1637" w:rsidRDefault="009E1637" w:rsidP="009E1637">
      <w:pPr>
        <w:shd w:val="clear" w:color="auto" w:fill="FFFFFF"/>
        <w:spacing w:before="330" w:after="165" w:line="412" w:lineRule="atLeast"/>
        <w:contextualSpacing w:val="0"/>
        <w:outlineLvl w:val="2"/>
        <w:rPr>
          <w:rFonts w:ascii="Arial" w:eastAsia="Times New Roman" w:hAnsi="Arial" w:cs="Arial"/>
          <w:color w:val="4472C4" w:themeColor="accent1"/>
          <w:sz w:val="31"/>
          <w:szCs w:val="31"/>
        </w:rPr>
      </w:pPr>
      <w:r w:rsidRPr="009E1637">
        <w:rPr>
          <w:rFonts w:ascii="Arial" w:eastAsia="Times New Roman" w:hAnsi="Arial" w:cs="Arial"/>
          <w:b/>
          <w:bCs/>
          <w:color w:val="4472C4" w:themeColor="accent1"/>
          <w:sz w:val="31"/>
          <w:szCs w:val="31"/>
        </w:rPr>
        <w:lastRenderedPageBreak/>
        <w:t>Types of Drug Tests</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Drug testing is typically conducted prior to tendering an offer of employment. A failed drug test could result in the job offer being withdrawn. Pre-employment drug tests typically scan for six substances:</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Amphetamines (speed, crank, meth)</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Ecstasy</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THC (marijuana, hash)</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Cocaine (crack)</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Opiates (codeine, morphine, heroin)</w:t>
      </w:r>
    </w:p>
    <w:p w:rsidR="009E1637" w:rsidRPr="009E1637" w:rsidRDefault="009E1637" w:rsidP="009E1637">
      <w:pPr>
        <w:numPr>
          <w:ilvl w:val="0"/>
          <w:numId w:val="3"/>
        </w:num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PCP (angel dust)</w:t>
      </w:r>
    </w:p>
    <w:p w:rsidR="009E1637" w:rsidRPr="009E1637" w:rsidRDefault="009E1637" w:rsidP="009E1637">
      <w:pPr>
        <w:shd w:val="clear" w:color="auto" w:fill="FFFFFF"/>
        <w:spacing w:before="330" w:after="165" w:line="412" w:lineRule="atLeast"/>
        <w:contextualSpacing w:val="0"/>
        <w:outlineLvl w:val="2"/>
        <w:rPr>
          <w:rFonts w:ascii="Arial" w:eastAsia="Times New Roman" w:hAnsi="Arial" w:cs="Arial"/>
          <w:color w:val="4472C4" w:themeColor="accent1"/>
          <w:sz w:val="31"/>
          <w:szCs w:val="31"/>
        </w:rPr>
      </w:pPr>
      <w:r w:rsidRPr="009E1637">
        <w:rPr>
          <w:rFonts w:ascii="Arial" w:eastAsia="Times New Roman" w:hAnsi="Arial" w:cs="Arial"/>
          <w:b/>
          <w:bCs/>
          <w:color w:val="4472C4" w:themeColor="accent1"/>
          <w:sz w:val="31"/>
          <w:szCs w:val="31"/>
        </w:rPr>
        <w:t>Pre-employment Drug Tests and the Constitution</w:t>
      </w: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An employer’s test typically doesn’t violate an applicant’s rights, but the way the test was carried out (or how its results are used) can sometimes be a bit of a gray area. The U.S. Supreme Court has ruled that wholesale drug tests with no specific motivation for suspicion are unconstitutional. They also ruled that the results of an applicant or employee testing positive can’t be used in future criminal cases without the person’s consent. And a test can be challenged on constitutional grounds if the results are indiscriminately revealed or if testing is excessive or otherwise inappropriate. So, it’s easy to see why many employers are abandoning applicant drug testing altogether.</w:t>
      </w:r>
    </w:p>
    <w:p w:rsidR="009E1637" w:rsidRDefault="009E1637" w:rsidP="009E1637">
      <w:pPr>
        <w:shd w:val="clear" w:color="auto" w:fill="FFFFFF"/>
        <w:spacing w:before="100" w:beforeAutospacing="1" w:after="100" w:afterAutospacing="1"/>
        <w:contextualSpacing w:val="0"/>
        <w:rPr>
          <w:rFonts w:ascii="Arial" w:eastAsia="Times New Roman" w:hAnsi="Arial" w:cs="Arial"/>
          <w:color w:val="6D6E71"/>
          <w:szCs w:val="24"/>
        </w:rPr>
      </w:pPr>
      <w:r w:rsidRPr="009E1637">
        <w:rPr>
          <w:rFonts w:ascii="Arial" w:eastAsia="Times New Roman" w:hAnsi="Arial" w:cs="Arial"/>
          <w:color w:val="6D6E71"/>
          <w:szCs w:val="24"/>
        </w:rPr>
        <w:t>If your company is mandated to screen applicants, it’s important that you maintain compliance with federal laws as well as those in the states where you do business. Check out Paycor’s </w:t>
      </w:r>
      <w:hyperlink r:id="rId11" w:history="1">
        <w:r w:rsidRPr="009E1637">
          <w:rPr>
            <w:rFonts w:ascii="Arial" w:eastAsia="Times New Roman" w:hAnsi="Arial" w:cs="Arial"/>
            <w:color w:val="F37321"/>
            <w:szCs w:val="24"/>
          </w:rPr>
          <w:t>Recruiting section</w:t>
        </w:r>
      </w:hyperlink>
      <w:r w:rsidRPr="009E1637">
        <w:rPr>
          <w:rFonts w:ascii="Arial" w:eastAsia="Times New Roman" w:hAnsi="Arial" w:cs="Arial"/>
          <w:color w:val="6D6E71"/>
          <w:szCs w:val="24"/>
        </w:rPr>
        <w:t xml:space="preserve"> on our website to see </w:t>
      </w:r>
      <w:proofErr w:type="gramStart"/>
      <w:r w:rsidRPr="009E1637">
        <w:rPr>
          <w:rFonts w:ascii="Arial" w:eastAsia="Times New Roman" w:hAnsi="Arial" w:cs="Arial"/>
          <w:color w:val="6D6E71"/>
          <w:szCs w:val="24"/>
        </w:rPr>
        <w:t>all of</w:t>
      </w:r>
      <w:proofErr w:type="gramEnd"/>
      <w:r w:rsidRPr="009E1637">
        <w:rPr>
          <w:rFonts w:ascii="Arial" w:eastAsia="Times New Roman" w:hAnsi="Arial" w:cs="Arial"/>
          <w:color w:val="6D6E71"/>
          <w:szCs w:val="24"/>
        </w:rPr>
        <w:t xml:space="preserve"> the other steps in the recruiting and onboarding process.</w:t>
      </w:r>
    </w:p>
    <w:p w:rsidR="00EE66E4" w:rsidRDefault="00EE66E4" w:rsidP="00EE66E4">
      <w:pPr>
        <w:spacing w:before="100" w:beforeAutospacing="1" w:after="100" w:afterAutospacing="1"/>
        <w:contextualSpacing w:val="0"/>
      </w:pPr>
      <w:r>
        <w:rPr>
          <w:noProof/>
        </w:rPr>
        <w:drawing>
          <wp:anchor distT="0" distB="0" distL="114300" distR="114300" simplePos="0" relativeHeight="251660288" behindDoc="0" locked="0" layoutInCell="1" allowOverlap="1" wp14:anchorId="4A1F542D" wp14:editId="2EED1944">
            <wp:simplePos x="0" y="0"/>
            <wp:positionH relativeFrom="column">
              <wp:posOffset>50800</wp:posOffset>
            </wp:positionH>
            <wp:positionV relativeFrom="paragraph">
              <wp:posOffset>93371</wp:posOffset>
            </wp:positionV>
            <wp:extent cx="1835785" cy="960120"/>
            <wp:effectExtent l="0" t="0" r="0" b="0"/>
            <wp:wrapSquare wrapText="bothSides"/>
            <wp:docPr id="1" name="Picture 1" descr="Image result for pay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ycor 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l="19201" t="21901" r="19637" b="21367"/>
                    <a:stretch/>
                  </pic:blipFill>
                  <pic:spPr bwMode="auto">
                    <a:xfrm>
                      <a:off x="0" y="0"/>
                      <a:ext cx="183578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66E4" w:rsidRDefault="00EE66E4" w:rsidP="00EE66E4">
      <w:pPr>
        <w:rPr>
          <w:rFonts w:ascii="Arial" w:hAnsi="Arial" w:cs="Arial"/>
          <w:sz w:val="32"/>
        </w:rPr>
      </w:pPr>
    </w:p>
    <w:p w:rsidR="00EE66E4" w:rsidRPr="00292B80" w:rsidRDefault="00EE66E4" w:rsidP="00EE66E4">
      <w:pPr>
        <w:rPr>
          <w:rFonts w:ascii="Arial" w:hAnsi="Arial" w:cs="Arial"/>
          <w:sz w:val="32"/>
        </w:rPr>
      </w:pPr>
      <w:r w:rsidRPr="00292B80">
        <w:rPr>
          <w:rFonts w:ascii="Arial" w:hAnsi="Arial" w:cs="Arial"/>
          <w:sz w:val="32"/>
        </w:rPr>
        <w:t>833-561-2900</w:t>
      </w:r>
      <w:bookmarkStart w:id="0" w:name="_GoBack"/>
      <w:bookmarkEnd w:id="0"/>
    </w:p>
    <w:p w:rsidR="00EE66E4" w:rsidRDefault="00EE66E4" w:rsidP="00EE66E4">
      <w:pPr>
        <w:rPr>
          <w:rFonts w:ascii="Arial" w:eastAsia="Times New Roman" w:hAnsi="Arial" w:cs="Arial"/>
          <w:color w:val="6D6E71"/>
          <w:szCs w:val="24"/>
        </w:rPr>
      </w:pPr>
      <w:hyperlink r:id="rId13" w:history="1">
        <w:r>
          <w:rPr>
            <w:rStyle w:val="Hyperlink"/>
          </w:rPr>
          <w:t>https://www.paycor.com/</w:t>
        </w:r>
      </w:hyperlink>
    </w:p>
    <w:p w:rsidR="00EE66E4" w:rsidRDefault="00EE66E4" w:rsidP="009E1637">
      <w:pPr>
        <w:shd w:val="clear" w:color="auto" w:fill="FFFFFF"/>
        <w:spacing w:before="100" w:beforeAutospacing="1" w:after="100" w:afterAutospacing="1"/>
        <w:contextualSpacing w:val="0"/>
        <w:rPr>
          <w:rFonts w:ascii="Arial" w:eastAsia="Times New Roman" w:hAnsi="Arial" w:cs="Arial"/>
          <w:color w:val="6D6E71"/>
          <w:szCs w:val="24"/>
        </w:rPr>
      </w:pPr>
    </w:p>
    <w:p w:rsidR="00EE66E4" w:rsidRDefault="00EE66E4" w:rsidP="009E1637">
      <w:pPr>
        <w:shd w:val="clear" w:color="auto" w:fill="FFFFFF"/>
        <w:spacing w:before="100" w:beforeAutospacing="1" w:after="100" w:afterAutospacing="1"/>
        <w:contextualSpacing w:val="0"/>
        <w:rPr>
          <w:rFonts w:ascii="Arial" w:eastAsia="Times New Roman" w:hAnsi="Arial" w:cs="Arial"/>
          <w:color w:val="6D6E71"/>
          <w:szCs w:val="24"/>
        </w:rPr>
      </w:pPr>
    </w:p>
    <w:p w:rsidR="00EE66E4" w:rsidRPr="009E1637" w:rsidRDefault="00EE66E4" w:rsidP="009E1637">
      <w:pPr>
        <w:shd w:val="clear" w:color="auto" w:fill="FFFFFF"/>
        <w:spacing w:before="100" w:beforeAutospacing="1" w:after="100" w:afterAutospacing="1"/>
        <w:contextualSpacing w:val="0"/>
        <w:rPr>
          <w:rFonts w:ascii="Arial" w:eastAsia="Times New Roman" w:hAnsi="Arial" w:cs="Arial"/>
          <w:color w:val="6D6E71"/>
          <w:szCs w:val="24"/>
        </w:rPr>
      </w:pPr>
    </w:p>
    <w:p w:rsidR="009E1637" w:rsidRPr="009E1637" w:rsidRDefault="009E1637" w:rsidP="009E1637">
      <w:pPr>
        <w:shd w:val="clear" w:color="auto" w:fill="FFFFFF"/>
        <w:spacing w:before="100" w:beforeAutospacing="1" w:after="100" w:afterAutospacing="1"/>
        <w:contextualSpacing w:val="0"/>
        <w:rPr>
          <w:rFonts w:ascii="Arial" w:eastAsia="Times New Roman" w:hAnsi="Arial" w:cs="Arial"/>
          <w:color w:val="4472C4" w:themeColor="accent1"/>
          <w:szCs w:val="24"/>
        </w:rPr>
      </w:pPr>
      <w:r w:rsidRPr="009E1637">
        <w:rPr>
          <w:rFonts w:ascii="Arial" w:eastAsia="Times New Roman" w:hAnsi="Arial" w:cs="Arial"/>
          <w:i/>
          <w:iCs/>
          <w:color w:val="4472C4" w:themeColor="accent1"/>
          <w:szCs w:val="24"/>
        </w:rPr>
        <w:t>The information provided in our chart is for educational purposes only; it is not legal advice. Always check regulations to help ensure compliance.</w:t>
      </w:r>
    </w:p>
    <w:p w:rsidR="000B7D56" w:rsidRDefault="000B7D56"/>
    <w:sectPr w:rsidR="000B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671F"/>
    <w:multiLevelType w:val="multilevel"/>
    <w:tmpl w:val="CB5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6402B"/>
    <w:multiLevelType w:val="multilevel"/>
    <w:tmpl w:val="EE0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F2487"/>
    <w:multiLevelType w:val="multilevel"/>
    <w:tmpl w:val="F6C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37"/>
    <w:rsid w:val="000B7D56"/>
    <w:rsid w:val="00142610"/>
    <w:rsid w:val="002743CF"/>
    <w:rsid w:val="004601AA"/>
    <w:rsid w:val="005E28A3"/>
    <w:rsid w:val="009E1637"/>
    <w:rsid w:val="00E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FA0A"/>
  <w15:chartTrackingRefBased/>
  <w15:docId w15:val="{0402C8B7-BF4E-46B0-B5BF-EB161D5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43CF"/>
    <w:pPr>
      <w:spacing w:after="0"/>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E28A3"/>
    <w:pPr>
      <w:spacing w:after="240"/>
    </w:pPr>
  </w:style>
  <w:style w:type="character" w:styleId="Hyperlink">
    <w:name w:val="Hyperlink"/>
    <w:basedOn w:val="DefaultParagraphFont"/>
    <w:uiPriority w:val="99"/>
    <w:semiHidden/>
    <w:unhideWhenUsed/>
    <w:rsid w:val="00EE6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6496">
      <w:bodyDiv w:val="1"/>
      <w:marLeft w:val="0"/>
      <w:marRight w:val="0"/>
      <w:marTop w:val="0"/>
      <w:marBottom w:val="0"/>
      <w:divBdr>
        <w:top w:val="none" w:sz="0" w:space="0" w:color="auto"/>
        <w:left w:val="none" w:sz="0" w:space="0" w:color="auto"/>
        <w:bottom w:val="none" w:sz="0" w:space="0" w:color="auto"/>
        <w:right w:val="none" w:sz="0" w:space="0" w:color="auto"/>
      </w:divBdr>
      <w:divsChild>
        <w:div w:id="51346012">
          <w:marLeft w:val="-225"/>
          <w:marRight w:val="-225"/>
          <w:marTop w:val="0"/>
          <w:marBottom w:val="0"/>
          <w:divBdr>
            <w:top w:val="none" w:sz="0" w:space="0" w:color="auto"/>
            <w:left w:val="none" w:sz="0" w:space="0" w:color="auto"/>
            <w:bottom w:val="none" w:sz="0" w:space="0" w:color="auto"/>
            <w:right w:val="none" w:sz="0" w:space="0" w:color="auto"/>
          </w:divBdr>
        </w:div>
        <w:div w:id="1638799567">
          <w:marLeft w:val="-225"/>
          <w:marRight w:val="-225"/>
          <w:marTop w:val="0"/>
          <w:marBottom w:val="0"/>
          <w:divBdr>
            <w:top w:val="none" w:sz="0" w:space="0" w:color="auto"/>
            <w:left w:val="none" w:sz="0" w:space="0" w:color="auto"/>
            <w:bottom w:val="none" w:sz="0" w:space="0" w:color="auto"/>
            <w:right w:val="none" w:sz="0" w:space="0" w:color="auto"/>
          </w:divBdr>
          <w:divsChild>
            <w:div w:id="1179852367">
              <w:marLeft w:val="0"/>
              <w:marRight w:val="0"/>
              <w:marTop w:val="0"/>
              <w:marBottom w:val="0"/>
              <w:divBdr>
                <w:top w:val="none" w:sz="0" w:space="0" w:color="auto"/>
                <w:left w:val="none" w:sz="0" w:space="0" w:color="auto"/>
                <w:bottom w:val="none" w:sz="0" w:space="0" w:color="auto"/>
                <w:right w:val="none" w:sz="0" w:space="0" w:color="auto"/>
              </w:divBdr>
            </w:div>
          </w:divsChild>
        </w:div>
        <w:div w:id="1888561669">
          <w:marLeft w:val="0"/>
          <w:marRight w:val="0"/>
          <w:marTop w:val="480"/>
          <w:marBottom w:val="0"/>
          <w:divBdr>
            <w:top w:val="none" w:sz="0" w:space="0" w:color="auto"/>
            <w:left w:val="none" w:sz="0" w:space="0" w:color="auto"/>
            <w:bottom w:val="none" w:sz="0" w:space="0" w:color="auto"/>
            <w:right w:val="none" w:sz="0" w:space="0" w:color="auto"/>
          </w:divBdr>
          <w:divsChild>
            <w:div w:id="17816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cor.com/hcm-basics/what-are-employee-assistance-plans" TargetMode="External"/><Relationship Id="rId13" Type="http://schemas.openxmlformats.org/officeDocument/2006/relationships/hyperlink" Target="https://www.paycor.com/" TargetMode="External"/><Relationship Id="rId3" Type="http://schemas.openxmlformats.org/officeDocument/2006/relationships/settings" Target="settings.xml"/><Relationship Id="rId7" Type="http://schemas.openxmlformats.org/officeDocument/2006/relationships/hyperlink" Target="https://www.ecfr.gov/cgi-bin/text-idx?SID=0ade64cd292692848e5b0d2a955f8c4e&amp;mc=true&amp;node=pt48.3.223&amp;rgn=div5"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stdiagnostics.com/home/physicians/health-trends/drug-testing.html" TargetMode="External"/><Relationship Id="rId11" Type="http://schemas.openxmlformats.org/officeDocument/2006/relationships/hyperlink" Target="https://www.paycor.com/resource-center/category/recruiti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cadd.org/" TargetMode="External"/><Relationship Id="rId4" Type="http://schemas.openxmlformats.org/officeDocument/2006/relationships/webSettings" Target="webSettings.xml"/><Relationship Id="rId9" Type="http://schemas.openxmlformats.org/officeDocument/2006/relationships/hyperlink" Target="https://en.wikipedia.org/wiki/Drug-Free_Workplace_Act_of_19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Holland</dc:creator>
  <cp:keywords/>
  <dc:description/>
  <cp:lastModifiedBy>Della Holland</cp:lastModifiedBy>
  <cp:revision>1</cp:revision>
  <dcterms:created xsi:type="dcterms:W3CDTF">2020-01-09T14:58:00Z</dcterms:created>
  <dcterms:modified xsi:type="dcterms:W3CDTF">2020-01-09T15:03:00Z</dcterms:modified>
</cp:coreProperties>
</file>