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B9" w:rsidRDefault="00A76FB9" w:rsidP="003B28EA">
      <w:pPr>
        <w:jc w:val="center"/>
        <w:rPr>
          <w:rFonts w:cstheme="minorHAnsi"/>
          <w:b/>
          <w:sz w:val="24"/>
          <w:szCs w:val="24"/>
        </w:rPr>
      </w:pPr>
      <w:r>
        <w:rPr>
          <w:rFonts w:cstheme="minorHAnsi"/>
          <w:b/>
          <w:sz w:val="24"/>
          <w:szCs w:val="24"/>
        </w:rPr>
        <w:t>EMPLOYMENT LAW…</w:t>
      </w:r>
      <w:r w:rsidR="00CF7D18" w:rsidRPr="00A76FB9">
        <w:rPr>
          <w:rFonts w:cstheme="minorHAnsi"/>
          <w:b/>
          <w:sz w:val="24"/>
          <w:szCs w:val="24"/>
        </w:rPr>
        <w:t xml:space="preserve">BUSINESS OPERATOR?  </w:t>
      </w:r>
    </w:p>
    <w:p w:rsidR="004D0698" w:rsidRDefault="00CF7D18" w:rsidP="003B28EA">
      <w:pPr>
        <w:jc w:val="center"/>
        <w:rPr>
          <w:rFonts w:cstheme="minorHAnsi"/>
          <w:b/>
          <w:sz w:val="24"/>
          <w:szCs w:val="24"/>
        </w:rPr>
      </w:pPr>
      <w:proofErr w:type="gramStart"/>
      <w:r w:rsidRPr="00A76FB9">
        <w:rPr>
          <w:rFonts w:cstheme="minorHAnsi"/>
          <w:b/>
          <w:sz w:val="24"/>
          <w:szCs w:val="24"/>
        </w:rPr>
        <w:t>THIS IS WHY</w:t>
      </w:r>
      <w:proofErr w:type="gramEnd"/>
      <w:r w:rsidRPr="00A76FB9">
        <w:rPr>
          <w:rFonts w:cstheme="minorHAnsi"/>
          <w:b/>
          <w:sz w:val="24"/>
          <w:szCs w:val="24"/>
        </w:rPr>
        <w:t xml:space="preserve"> YOU ARE MOST LIKELY TO BE SUED.</w:t>
      </w:r>
    </w:p>
    <w:p w:rsidR="0067544A" w:rsidRPr="00A76FB9" w:rsidRDefault="0067544A" w:rsidP="003B28EA">
      <w:pPr>
        <w:jc w:val="center"/>
        <w:rPr>
          <w:rFonts w:cstheme="minorHAnsi"/>
          <w:b/>
          <w:sz w:val="24"/>
          <w:szCs w:val="24"/>
        </w:rPr>
      </w:pPr>
    </w:p>
    <w:p w:rsidR="00CF7D18" w:rsidRPr="00A76FB9" w:rsidRDefault="00A76FB9" w:rsidP="0067544A">
      <w:pPr>
        <w:jc w:val="center"/>
        <w:rPr>
          <w:rFonts w:cstheme="minorHAnsi"/>
          <w:sz w:val="24"/>
          <w:szCs w:val="24"/>
        </w:rPr>
      </w:pPr>
      <w:r>
        <w:rPr>
          <w:noProof/>
        </w:rPr>
        <w:drawing>
          <wp:inline distT="0" distB="0" distL="0" distR="0" wp14:anchorId="0301B5C5" wp14:editId="7400A6B6">
            <wp:extent cx="5932805" cy="3981157"/>
            <wp:effectExtent l="0" t="0" r="0" b="635"/>
            <wp:docPr id="3" name="Picture 3" descr="Image result for sue your 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e your boss"/>
                    <pic:cNvPicPr>
                      <a:picLocks noChangeAspect="1" noChangeArrowheads="1"/>
                    </pic:cNvPicPr>
                  </pic:nvPicPr>
                  <pic:blipFill rotWithShape="1">
                    <a:blip r:embed="rId5">
                      <a:extLst>
                        <a:ext uri="{28A0092B-C50C-407E-A947-70E740481C1C}">
                          <a14:useLocalDpi xmlns:a14="http://schemas.microsoft.com/office/drawing/2010/main" val="0"/>
                        </a:ext>
                      </a:extLst>
                    </a:blip>
                    <a:srcRect r="16978" b="4039"/>
                    <a:stretch/>
                  </pic:blipFill>
                  <pic:spPr bwMode="auto">
                    <a:xfrm>
                      <a:off x="0" y="0"/>
                      <a:ext cx="5989510" cy="4019208"/>
                    </a:xfrm>
                    <a:prstGeom prst="rect">
                      <a:avLst/>
                    </a:prstGeom>
                    <a:noFill/>
                    <a:ln>
                      <a:noFill/>
                    </a:ln>
                    <a:extLst>
                      <a:ext uri="{53640926-AAD7-44D8-BBD7-CCE9431645EC}">
                        <a14:shadowObscured xmlns:a14="http://schemas.microsoft.com/office/drawing/2010/main"/>
                      </a:ext>
                    </a:extLst>
                  </pic:spPr>
                </pic:pic>
              </a:graphicData>
            </a:graphic>
          </wp:inline>
        </w:drawing>
      </w:r>
    </w:p>
    <w:p w:rsidR="0067544A" w:rsidRDefault="0067544A" w:rsidP="00A76FB9">
      <w:pPr>
        <w:rPr>
          <w:rFonts w:cstheme="minorHAnsi"/>
          <w:sz w:val="24"/>
          <w:szCs w:val="24"/>
        </w:rPr>
      </w:pPr>
    </w:p>
    <w:p w:rsidR="004F3C5F" w:rsidRDefault="004F3C5F" w:rsidP="00A76FB9">
      <w:pPr>
        <w:rPr>
          <w:rFonts w:cstheme="minorHAnsi"/>
          <w:sz w:val="24"/>
          <w:szCs w:val="24"/>
        </w:rPr>
      </w:pPr>
    </w:p>
    <w:p w:rsidR="003A7B79" w:rsidRPr="00A76FB9" w:rsidRDefault="00CF7D18" w:rsidP="00A76FB9">
      <w:pPr>
        <w:rPr>
          <w:rFonts w:cstheme="minorHAnsi"/>
          <w:sz w:val="24"/>
          <w:szCs w:val="24"/>
        </w:rPr>
      </w:pPr>
      <w:r w:rsidRPr="00A76FB9">
        <w:rPr>
          <w:rFonts w:cstheme="minorHAnsi"/>
          <w:sz w:val="24"/>
          <w:szCs w:val="24"/>
        </w:rPr>
        <w:t xml:space="preserve">I was surprised to learn recently that 75% of all civil matters filed in the U.S. are employment related.  The average settlement of these claims is $40,000.  In 10% of the cases that go to trial, the judgment exceeds $1,000,000.  And if you think you are in a solid conservative part of the country where you are insulated from these claims, know that good ol’ Texas has more employment law </w:t>
      </w:r>
      <w:r w:rsidR="003A7B79" w:rsidRPr="00A76FB9">
        <w:rPr>
          <w:rFonts w:cstheme="minorHAnsi"/>
          <w:sz w:val="24"/>
          <w:szCs w:val="24"/>
        </w:rPr>
        <w:t>law</w:t>
      </w:r>
      <w:r w:rsidRPr="00A76FB9">
        <w:rPr>
          <w:rFonts w:cstheme="minorHAnsi"/>
          <w:sz w:val="24"/>
          <w:szCs w:val="24"/>
        </w:rPr>
        <w:t xml:space="preserve">suits than any other state.  </w:t>
      </w:r>
    </w:p>
    <w:p w:rsidR="00A76FB9" w:rsidRDefault="00A76FB9" w:rsidP="00A76FB9">
      <w:pPr>
        <w:rPr>
          <w:rFonts w:cstheme="minorHAnsi"/>
          <w:sz w:val="24"/>
          <w:szCs w:val="24"/>
        </w:rPr>
      </w:pPr>
    </w:p>
    <w:p w:rsidR="00596AA5" w:rsidRDefault="00596AA5" w:rsidP="00A76FB9">
      <w:pPr>
        <w:rPr>
          <w:rFonts w:cstheme="minorHAnsi"/>
          <w:sz w:val="24"/>
          <w:szCs w:val="24"/>
        </w:rPr>
      </w:pPr>
      <w:r w:rsidRPr="00A76FB9">
        <w:rPr>
          <w:rFonts w:cstheme="minorHAnsi"/>
          <w:sz w:val="24"/>
          <w:szCs w:val="24"/>
        </w:rPr>
        <w:t xml:space="preserve">Statistics evidence that the problems is becoming worse.  The Federal Agencies overseeing employment issues (EEOC, NLRB, Department of Labor…) are now staffed with union and employee sympathetic/minded managers appointed by the Obama Administration.  While running for office, President Obama pledged to pass union favorable laws, but he was unsuccessful in doing so.  However, he has unilaterally amended the supporting rules and regulations that surround these laws.  In addition, his administration has created new employee favorable </w:t>
      </w:r>
      <w:r w:rsidR="00024E5B" w:rsidRPr="00A76FB9">
        <w:rPr>
          <w:rFonts w:cstheme="minorHAnsi"/>
          <w:sz w:val="24"/>
          <w:szCs w:val="24"/>
        </w:rPr>
        <w:t>definitions to</w:t>
      </w:r>
      <w:r w:rsidRPr="00A76FB9">
        <w:rPr>
          <w:rFonts w:cstheme="minorHAnsi"/>
          <w:sz w:val="24"/>
          <w:szCs w:val="24"/>
        </w:rPr>
        <w:t xml:space="preserve"> previously settled terms and meanings.  One recent judge ruled that “at will” employment </w:t>
      </w:r>
      <w:r w:rsidR="00A76FB9">
        <w:rPr>
          <w:rFonts w:cstheme="minorHAnsi"/>
          <w:sz w:val="24"/>
          <w:szCs w:val="24"/>
        </w:rPr>
        <w:t xml:space="preserve">was no longer </w:t>
      </w:r>
      <w:r w:rsidRPr="00A76FB9">
        <w:rPr>
          <w:rFonts w:cstheme="minorHAnsi"/>
          <w:sz w:val="24"/>
          <w:szCs w:val="24"/>
        </w:rPr>
        <w:t>legally permissible.</w:t>
      </w:r>
    </w:p>
    <w:p w:rsidR="004F3C5F" w:rsidRDefault="004F3C5F" w:rsidP="00A76FB9">
      <w:pPr>
        <w:rPr>
          <w:rFonts w:cstheme="minorHAnsi"/>
          <w:sz w:val="24"/>
          <w:szCs w:val="24"/>
        </w:rPr>
      </w:pPr>
    </w:p>
    <w:p w:rsidR="004F3C5F" w:rsidRDefault="004F3C5F" w:rsidP="00A76FB9">
      <w:pPr>
        <w:rPr>
          <w:rFonts w:cstheme="minorHAnsi"/>
          <w:sz w:val="24"/>
          <w:szCs w:val="24"/>
        </w:rPr>
      </w:pPr>
    </w:p>
    <w:p w:rsidR="004F3C5F" w:rsidRDefault="004F3C5F" w:rsidP="004F3C5F">
      <w:pPr>
        <w:jc w:val="center"/>
        <w:rPr>
          <w:rFonts w:cstheme="minorHAnsi"/>
          <w:sz w:val="24"/>
          <w:szCs w:val="24"/>
        </w:rPr>
      </w:pPr>
      <w:r>
        <w:rPr>
          <w:noProof/>
        </w:rPr>
        <w:lastRenderedPageBreak/>
        <w:drawing>
          <wp:inline distT="0" distB="0" distL="0" distR="0" wp14:anchorId="0BBAF2B4" wp14:editId="1DFD8B2E">
            <wp:extent cx="6011055" cy="2278966"/>
            <wp:effectExtent l="0" t="0" r="0" b="7620"/>
            <wp:docPr id="4" name="Picture 4" descr="Image result for avoid employment law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void employment lawsuit"/>
                    <pic:cNvPicPr>
                      <a:picLocks noChangeAspect="1" noChangeArrowheads="1"/>
                    </pic:cNvPicPr>
                  </pic:nvPicPr>
                  <pic:blipFill rotWithShape="1">
                    <a:blip r:embed="rId6">
                      <a:extLst>
                        <a:ext uri="{28A0092B-C50C-407E-A947-70E740481C1C}">
                          <a14:useLocalDpi xmlns:a14="http://schemas.microsoft.com/office/drawing/2010/main" val="0"/>
                        </a:ext>
                      </a:extLst>
                    </a:blip>
                    <a:srcRect t="15326" b="32915"/>
                    <a:stretch/>
                  </pic:blipFill>
                  <pic:spPr bwMode="auto">
                    <a:xfrm>
                      <a:off x="0" y="0"/>
                      <a:ext cx="6057315" cy="2296505"/>
                    </a:xfrm>
                    <a:prstGeom prst="rect">
                      <a:avLst/>
                    </a:prstGeom>
                    <a:noFill/>
                    <a:ln>
                      <a:noFill/>
                    </a:ln>
                    <a:extLst>
                      <a:ext uri="{53640926-AAD7-44D8-BBD7-CCE9431645EC}">
                        <a14:shadowObscured xmlns:a14="http://schemas.microsoft.com/office/drawing/2010/main"/>
                      </a:ext>
                    </a:extLst>
                  </pic:spPr>
                </pic:pic>
              </a:graphicData>
            </a:graphic>
          </wp:inline>
        </w:drawing>
      </w:r>
    </w:p>
    <w:p w:rsidR="004F3C5F" w:rsidRPr="00A76FB9" w:rsidRDefault="004F3C5F" w:rsidP="00A76FB9">
      <w:pPr>
        <w:rPr>
          <w:rFonts w:cstheme="minorHAnsi"/>
          <w:sz w:val="24"/>
          <w:szCs w:val="24"/>
        </w:rPr>
      </w:pPr>
    </w:p>
    <w:p w:rsidR="00596AA5" w:rsidRPr="004F3C5F" w:rsidRDefault="00596AA5" w:rsidP="00A76FB9">
      <w:pPr>
        <w:rPr>
          <w:rFonts w:cstheme="minorHAnsi"/>
          <w:b/>
          <w:sz w:val="28"/>
          <w:szCs w:val="24"/>
        </w:rPr>
      </w:pPr>
      <w:r w:rsidRPr="004F3C5F">
        <w:rPr>
          <w:rFonts w:cstheme="minorHAnsi"/>
          <w:b/>
          <w:sz w:val="28"/>
          <w:szCs w:val="24"/>
        </w:rPr>
        <w:t xml:space="preserve">Here are </w:t>
      </w:r>
      <w:r w:rsidR="00D94A95" w:rsidRPr="004F3C5F">
        <w:rPr>
          <w:rFonts w:cstheme="minorHAnsi"/>
          <w:b/>
          <w:sz w:val="28"/>
          <w:szCs w:val="24"/>
        </w:rPr>
        <w:t>ten (10)</w:t>
      </w:r>
      <w:r w:rsidRPr="004F3C5F">
        <w:rPr>
          <w:rFonts w:cstheme="minorHAnsi"/>
          <w:b/>
          <w:sz w:val="28"/>
          <w:szCs w:val="24"/>
        </w:rPr>
        <w:t xml:space="preserve"> recommendations that should help you avoid future employment related lawsuits:</w:t>
      </w:r>
    </w:p>
    <w:p w:rsidR="003A7B79" w:rsidRPr="00A76FB9" w:rsidRDefault="00596AA5" w:rsidP="003A7B79">
      <w:pPr>
        <w:pStyle w:val="ListParagraph"/>
        <w:numPr>
          <w:ilvl w:val="0"/>
          <w:numId w:val="1"/>
        </w:numPr>
        <w:rPr>
          <w:rFonts w:cstheme="minorHAnsi"/>
          <w:sz w:val="24"/>
          <w:szCs w:val="24"/>
        </w:rPr>
      </w:pPr>
      <w:r w:rsidRPr="00A76FB9">
        <w:rPr>
          <w:rFonts w:cstheme="minorHAnsi"/>
          <w:sz w:val="24"/>
          <w:szCs w:val="24"/>
        </w:rPr>
        <w:t xml:space="preserve"> Make sure your “salaried/exempt” employees meet the definition for such.  If </w:t>
      </w:r>
      <w:r w:rsidR="00D94A95" w:rsidRPr="00A76FB9">
        <w:rPr>
          <w:rFonts w:cstheme="minorHAnsi"/>
          <w:sz w:val="24"/>
          <w:szCs w:val="24"/>
        </w:rPr>
        <w:t>not, a disgruntled employee may</w:t>
      </w:r>
      <w:r w:rsidRPr="00A76FB9">
        <w:rPr>
          <w:rFonts w:cstheme="minorHAnsi"/>
          <w:sz w:val="24"/>
          <w:szCs w:val="24"/>
        </w:rPr>
        <w:t xml:space="preserve"> be able to successfully collect back overtime pay.  All </w:t>
      </w:r>
      <w:r w:rsidR="00024E5B" w:rsidRPr="00A76FB9">
        <w:rPr>
          <w:rFonts w:cstheme="minorHAnsi"/>
          <w:sz w:val="24"/>
          <w:szCs w:val="24"/>
        </w:rPr>
        <w:t>full-time</w:t>
      </w:r>
      <w:r w:rsidRPr="00A76FB9">
        <w:rPr>
          <w:rFonts w:cstheme="minorHAnsi"/>
          <w:sz w:val="24"/>
          <w:szCs w:val="24"/>
        </w:rPr>
        <w:t xml:space="preserve"> employees making less than $23,660/year</w:t>
      </w:r>
      <w:r w:rsidR="00024E5B" w:rsidRPr="00A76FB9">
        <w:rPr>
          <w:rFonts w:cstheme="minorHAnsi"/>
          <w:sz w:val="24"/>
          <w:szCs w:val="24"/>
        </w:rPr>
        <w:t>*</w:t>
      </w:r>
      <w:r w:rsidRPr="00A76FB9">
        <w:rPr>
          <w:rFonts w:cstheme="minorHAnsi"/>
          <w:sz w:val="24"/>
          <w:szCs w:val="24"/>
        </w:rPr>
        <w:t xml:space="preserve"> are non-exempt hourly</w:t>
      </w:r>
      <w:r w:rsidR="003A7B79" w:rsidRPr="00A76FB9">
        <w:rPr>
          <w:rFonts w:cstheme="minorHAnsi"/>
          <w:sz w:val="24"/>
          <w:szCs w:val="24"/>
        </w:rPr>
        <w:t>.  Do not deduct pay from exempt employees for missing part of a work day or for substandard performance.  If you do, you just made them “non-exempt;”</w:t>
      </w:r>
    </w:p>
    <w:p w:rsidR="00433EDC" w:rsidRPr="00A76FB9" w:rsidRDefault="00433EDC" w:rsidP="00596AA5">
      <w:pPr>
        <w:pStyle w:val="ListParagraph"/>
        <w:numPr>
          <w:ilvl w:val="0"/>
          <w:numId w:val="1"/>
        </w:numPr>
        <w:rPr>
          <w:rFonts w:cstheme="minorHAnsi"/>
          <w:sz w:val="24"/>
          <w:szCs w:val="24"/>
        </w:rPr>
      </w:pPr>
      <w:r w:rsidRPr="00A76FB9">
        <w:rPr>
          <w:rFonts w:cstheme="minorHAnsi"/>
          <w:sz w:val="24"/>
          <w:szCs w:val="24"/>
        </w:rPr>
        <w:t>Hire from a broad pool of applicants.  If all your employees are hired via word of mouth, you’ll likely have a group that share the same race, sex, and other affiliations;</w:t>
      </w:r>
    </w:p>
    <w:p w:rsidR="00596AA5" w:rsidRPr="00A76FB9" w:rsidRDefault="00433EDC" w:rsidP="00596AA5">
      <w:pPr>
        <w:pStyle w:val="ListParagraph"/>
        <w:numPr>
          <w:ilvl w:val="0"/>
          <w:numId w:val="1"/>
        </w:numPr>
        <w:rPr>
          <w:rFonts w:cstheme="minorHAnsi"/>
          <w:sz w:val="24"/>
          <w:szCs w:val="24"/>
        </w:rPr>
      </w:pPr>
      <w:r w:rsidRPr="00A76FB9">
        <w:rPr>
          <w:rFonts w:cstheme="minorHAnsi"/>
          <w:sz w:val="24"/>
          <w:szCs w:val="24"/>
        </w:rPr>
        <w:t>During interviews, only ask questions directly related to the job</w:t>
      </w:r>
      <w:r w:rsidR="00D94A95" w:rsidRPr="00A76FB9">
        <w:rPr>
          <w:rFonts w:cstheme="minorHAnsi"/>
          <w:sz w:val="24"/>
          <w:szCs w:val="24"/>
        </w:rPr>
        <w:t xml:space="preserve"> functions</w:t>
      </w:r>
      <w:r w:rsidRPr="00A76FB9">
        <w:rPr>
          <w:rFonts w:cstheme="minorHAnsi"/>
          <w:sz w:val="24"/>
          <w:szCs w:val="24"/>
        </w:rPr>
        <w:t>.  Questions about age, relationship status, kids, and health are dangerous.  Keep interview notes, but never write funny remarks</w:t>
      </w:r>
      <w:r w:rsidR="00596AA5" w:rsidRPr="00A76FB9">
        <w:rPr>
          <w:rFonts w:cstheme="minorHAnsi"/>
          <w:sz w:val="24"/>
          <w:szCs w:val="24"/>
        </w:rPr>
        <w:t xml:space="preserve"> </w:t>
      </w:r>
      <w:r w:rsidR="00D94A95" w:rsidRPr="00A76FB9">
        <w:rPr>
          <w:rFonts w:cstheme="minorHAnsi"/>
          <w:sz w:val="24"/>
          <w:szCs w:val="24"/>
        </w:rPr>
        <w:t>or note comments about</w:t>
      </w:r>
      <w:r w:rsidRPr="00A76FB9">
        <w:rPr>
          <w:rFonts w:cstheme="minorHAnsi"/>
          <w:sz w:val="24"/>
          <w:szCs w:val="24"/>
        </w:rPr>
        <w:t xml:space="preserve"> physical appearance;</w:t>
      </w:r>
    </w:p>
    <w:p w:rsidR="00433EDC" w:rsidRPr="00A76FB9" w:rsidRDefault="00433EDC" w:rsidP="00596AA5">
      <w:pPr>
        <w:pStyle w:val="ListParagraph"/>
        <w:numPr>
          <w:ilvl w:val="0"/>
          <w:numId w:val="1"/>
        </w:numPr>
        <w:rPr>
          <w:rFonts w:cstheme="minorHAnsi"/>
          <w:sz w:val="24"/>
          <w:szCs w:val="24"/>
        </w:rPr>
      </w:pPr>
      <w:r w:rsidRPr="00A76FB9">
        <w:rPr>
          <w:rFonts w:cstheme="minorHAnsi"/>
          <w:sz w:val="24"/>
          <w:szCs w:val="24"/>
        </w:rPr>
        <w:t>Stay small.  Many federal laws, such as the American with Disabilities Act and the Family Leave Act, don’t apply to employers with less than 15 employees;</w:t>
      </w:r>
    </w:p>
    <w:p w:rsidR="00433EDC" w:rsidRPr="00A76FB9" w:rsidRDefault="00433EDC" w:rsidP="00596AA5">
      <w:pPr>
        <w:pStyle w:val="ListParagraph"/>
        <w:numPr>
          <w:ilvl w:val="0"/>
          <w:numId w:val="1"/>
        </w:numPr>
        <w:rPr>
          <w:rFonts w:cstheme="minorHAnsi"/>
          <w:sz w:val="24"/>
          <w:szCs w:val="24"/>
        </w:rPr>
      </w:pPr>
      <w:r w:rsidRPr="00A76FB9">
        <w:rPr>
          <w:rFonts w:cstheme="minorHAnsi"/>
          <w:sz w:val="24"/>
          <w:szCs w:val="24"/>
        </w:rPr>
        <w:t>Criminal background</w:t>
      </w:r>
      <w:r w:rsidR="00D94A95" w:rsidRPr="00A76FB9">
        <w:rPr>
          <w:rFonts w:cstheme="minorHAnsi"/>
          <w:sz w:val="24"/>
          <w:szCs w:val="24"/>
        </w:rPr>
        <w:t xml:space="preserve"> checks, as well as</w:t>
      </w:r>
      <w:r w:rsidRPr="00A76FB9">
        <w:rPr>
          <w:rFonts w:cstheme="minorHAnsi"/>
          <w:sz w:val="24"/>
          <w:szCs w:val="24"/>
        </w:rPr>
        <w:t xml:space="preserve"> employee skill /knowledge and drug tests</w:t>
      </w:r>
      <w:r w:rsidR="00D94A95" w:rsidRPr="00A76FB9">
        <w:rPr>
          <w:rFonts w:cstheme="minorHAnsi"/>
          <w:sz w:val="24"/>
          <w:szCs w:val="24"/>
        </w:rPr>
        <w:t xml:space="preserve"> are </w:t>
      </w:r>
      <w:r w:rsidRPr="00A76FB9">
        <w:rPr>
          <w:rFonts w:cstheme="minorHAnsi"/>
          <w:sz w:val="24"/>
          <w:szCs w:val="24"/>
        </w:rPr>
        <w:t>good ideas, but must be job related</w:t>
      </w:r>
      <w:r w:rsidR="003A7B79" w:rsidRPr="00A76FB9">
        <w:rPr>
          <w:rFonts w:cstheme="minorHAnsi"/>
          <w:sz w:val="24"/>
          <w:szCs w:val="24"/>
        </w:rPr>
        <w:t>.  Pre-employment medical exams aren’t allowed</w:t>
      </w:r>
      <w:r w:rsidRPr="00A76FB9">
        <w:rPr>
          <w:rFonts w:cstheme="minorHAnsi"/>
          <w:sz w:val="24"/>
          <w:szCs w:val="24"/>
        </w:rPr>
        <w:t>;</w:t>
      </w:r>
    </w:p>
    <w:p w:rsidR="003A7B79" w:rsidRPr="00A76FB9" w:rsidRDefault="003A7B79" w:rsidP="00596AA5">
      <w:pPr>
        <w:pStyle w:val="ListParagraph"/>
        <w:numPr>
          <w:ilvl w:val="0"/>
          <w:numId w:val="1"/>
        </w:numPr>
        <w:rPr>
          <w:rFonts w:cstheme="minorHAnsi"/>
          <w:sz w:val="24"/>
          <w:szCs w:val="24"/>
        </w:rPr>
      </w:pPr>
      <w:r w:rsidRPr="00A76FB9">
        <w:rPr>
          <w:rFonts w:cstheme="minorHAnsi"/>
          <w:sz w:val="24"/>
          <w:szCs w:val="24"/>
        </w:rPr>
        <w:t>Have clear written workplace and employment rules.  Consistently enforce them;</w:t>
      </w:r>
    </w:p>
    <w:p w:rsidR="003A7B79" w:rsidRPr="00A76FB9" w:rsidRDefault="003A7B79" w:rsidP="00596AA5">
      <w:pPr>
        <w:pStyle w:val="ListParagraph"/>
        <w:numPr>
          <w:ilvl w:val="0"/>
          <w:numId w:val="1"/>
        </w:numPr>
        <w:rPr>
          <w:rFonts w:cstheme="minorHAnsi"/>
          <w:sz w:val="24"/>
          <w:szCs w:val="24"/>
        </w:rPr>
      </w:pPr>
      <w:r w:rsidRPr="00A76FB9">
        <w:rPr>
          <w:rFonts w:cstheme="minorHAnsi"/>
          <w:sz w:val="24"/>
          <w:szCs w:val="24"/>
        </w:rPr>
        <w:t>When you make an employment offer, due it in writing and include that the job is “</w:t>
      </w:r>
      <w:r w:rsidR="00D94A95" w:rsidRPr="00A76FB9">
        <w:rPr>
          <w:rFonts w:cstheme="minorHAnsi"/>
          <w:sz w:val="24"/>
          <w:szCs w:val="24"/>
        </w:rPr>
        <w:t>at will.”  Also add</w:t>
      </w:r>
      <w:r w:rsidRPr="00A76FB9">
        <w:rPr>
          <w:rFonts w:cstheme="minorHAnsi"/>
          <w:sz w:val="24"/>
          <w:szCs w:val="24"/>
        </w:rPr>
        <w:t xml:space="preserve"> that all computer communications at work will be monitored;</w:t>
      </w:r>
    </w:p>
    <w:p w:rsidR="003A7B79" w:rsidRPr="00A76FB9" w:rsidRDefault="003A7B79" w:rsidP="00596AA5">
      <w:pPr>
        <w:pStyle w:val="ListParagraph"/>
        <w:numPr>
          <w:ilvl w:val="0"/>
          <w:numId w:val="1"/>
        </w:numPr>
        <w:rPr>
          <w:rFonts w:cstheme="minorHAnsi"/>
          <w:sz w:val="24"/>
          <w:szCs w:val="24"/>
        </w:rPr>
      </w:pPr>
      <w:r w:rsidRPr="00A76FB9">
        <w:rPr>
          <w:rFonts w:cstheme="minorHAnsi"/>
          <w:sz w:val="24"/>
          <w:szCs w:val="24"/>
        </w:rPr>
        <w:t xml:space="preserve">Know that the EEOC, NLRB, and Department of Labor are </w:t>
      </w:r>
      <w:r w:rsidRPr="00A76FB9">
        <w:rPr>
          <w:rFonts w:cstheme="minorHAnsi"/>
          <w:b/>
          <w:sz w:val="24"/>
          <w:szCs w:val="24"/>
        </w:rPr>
        <w:t>not</w:t>
      </w:r>
      <w:r w:rsidRPr="00A76FB9">
        <w:rPr>
          <w:rFonts w:cstheme="minorHAnsi"/>
          <w:sz w:val="24"/>
          <w:szCs w:val="24"/>
        </w:rPr>
        <w:t xml:space="preserve"> neutral arbitrators of employee disputes.  Their budgets are dependent upon showing how many employees they helped and how big their awards were.  If these agencies contact</w:t>
      </w:r>
      <w:r w:rsidR="00D94A95" w:rsidRPr="00A76FB9">
        <w:rPr>
          <w:rFonts w:cstheme="minorHAnsi"/>
          <w:sz w:val="24"/>
          <w:szCs w:val="24"/>
        </w:rPr>
        <w:t xml:space="preserve"> your business</w:t>
      </w:r>
      <w:r w:rsidRPr="00A76FB9">
        <w:rPr>
          <w:rFonts w:cstheme="minorHAnsi"/>
          <w:sz w:val="24"/>
          <w:szCs w:val="24"/>
        </w:rPr>
        <w:t>, seek counsel immediately</w:t>
      </w:r>
      <w:r w:rsidR="00D94A95" w:rsidRPr="00A76FB9">
        <w:rPr>
          <w:rFonts w:cstheme="minorHAnsi"/>
          <w:sz w:val="24"/>
          <w:szCs w:val="24"/>
        </w:rPr>
        <w:t>, and before responding to the agency</w:t>
      </w:r>
      <w:r w:rsidRPr="00A76FB9">
        <w:rPr>
          <w:rFonts w:cstheme="minorHAnsi"/>
          <w:sz w:val="24"/>
          <w:szCs w:val="24"/>
        </w:rPr>
        <w:t xml:space="preserve">; </w:t>
      </w:r>
    </w:p>
    <w:p w:rsidR="003A7B79" w:rsidRPr="00A76FB9" w:rsidRDefault="003A7B79" w:rsidP="00596AA5">
      <w:pPr>
        <w:pStyle w:val="ListParagraph"/>
        <w:numPr>
          <w:ilvl w:val="0"/>
          <w:numId w:val="1"/>
        </w:numPr>
        <w:rPr>
          <w:rFonts w:cstheme="minorHAnsi"/>
          <w:sz w:val="24"/>
          <w:szCs w:val="24"/>
        </w:rPr>
      </w:pPr>
      <w:r w:rsidRPr="00A76FB9">
        <w:rPr>
          <w:rFonts w:cstheme="minorHAnsi"/>
          <w:sz w:val="24"/>
          <w:szCs w:val="24"/>
        </w:rPr>
        <w:t>If there is an allegation of sexual harassment, investigate it immediately (&lt;24 hours).  And then exercise the “two strikes and you are out”</w:t>
      </w:r>
      <w:r w:rsidR="00D94A95" w:rsidRPr="00A76FB9">
        <w:rPr>
          <w:rFonts w:cstheme="minorHAnsi"/>
          <w:sz w:val="24"/>
          <w:szCs w:val="24"/>
        </w:rPr>
        <w:t xml:space="preserve"> rule; and </w:t>
      </w:r>
    </w:p>
    <w:p w:rsidR="003A7B79" w:rsidRPr="00A76FB9" w:rsidRDefault="003A7B79" w:rsidP="00596AA5">
      <w:pPr>
        <w:pStyle w:val="ListParagraph"/>
        <w:numPr>
          <w:ilvl w:val="0"/>
          <w:numId w:val="1"/>
        </w:numPr>
        <w:rPr>
          <w:rFonts w:cstheme="minorHAnsi"/>
          <w:sz w:val="24"/>
          <w:szCs w:val="24"/>
        </w:rPr>
      </w:pPr>
      <w:r w:rsidRPr="00A76FB9">
        <w:rPr>
          <w:rFonts w:cstheme="minorHAnsi"/>
          <w:sz w:val="24"/>
          <w:szCs w:val="24"/>
        </w:rPr>
        <w:lastRenderedPageBreak/>
        <w:t xml:space="preserve">Don’t label workers that are </w:t>
      </w:r>
      <w:r w:rsidR="00D94A95" w:rsidRPr="00A76FB9">
        <w:rPr>
          <w:rFonts w:cstheme="minorHAnsi"/>
          <w:sz w:val="24"/>
          <w:szCs w:val="24"/>
        </w:rPr>
        <w:t>“</w:t>
      </w:r>
      <w:r w:rsidRPr="00A76FB9">
        <w:rPr>
          <w:rFonts w:cstheme="minorHAnsi"/>
          <w:sz w:val="24"/>
          <w:szCs w:val="24"/>
        </w:rPr>
        <w:t>employees</w:t>
      </w:r>
      <w:r w:rsidR="00D94A95" w:rsidRPr="00A76FB9">
        <w:rPr>
          <w:rFonts w:cstheme="minorHAnsi"/>
          <w:sz w:val="24"/>
          <w:szCs w:val="24"/>
        </w:rPr>
        <w:t>”</w:t>
      </w:r>
      <w:r w:rsidRPr="00A76FB9">
        <w:rPr>
          <w:rFonts w:cstheme="minorHAnsi"/>
          <w:sz w:val="24"/>
          <w:szCs w:val="24"/>
        </w:rPr>
        <w:t xml:space="preserve"> as “independent contractors” unless they meet the definition of such.  The Department of Labor is actively looking for violators of this rule</w:t>
      </w:r>
      <w:r w:rsidR="00D94A95" w:rsidRPr="00A76FB9">
        <w:rPr>
          <w:rFonts w:cstheme="minorHAnsi"/>
          <w:sz w:val="24"/>
          <w:szCs w:val="24"/>
        </w:rPr>
        <w:t xml:space="preserve"> as they see it as a revenue loss for the government.</w:t>
      </w:r>
    </w:p>
    <w:p w:rsidR="00024E5B" w:rsidRPr="00A76FB9" w:rsidRDefault="00024E5B" w:rsidP="00D94A95">
      <w:pPr>
        <w:rPr>
          <w:rFonts w:cstheme="minorHAnsi"/>
          <w:sz w:val="24"/>
          <w:szCs w:val="24"/>
        </w:rPr>
      </w:pPr>
    </w:p>
    <w:p w:rsidR="00D94A95" w:rsidRPr="00A76FB9" w:rsidRDefault="00024E5B" w:rsidP="00D94A95">
      <w:pPr>
        <w:rPr>
          <w:rFonts w:cstheme="minorHAnsi"/>
          <w:i/>
          <w:sz w:val="24"/>
          <w:szCs w:val="24"/>
        </w:rPr>
      </w:pPr>
      <w:r w:rsidRPr="00A76FB9">
        <w:rPr>
          <w:rFonts w:cstheme="minorHAnsi"/>
          <w:sz w:val="24"/>
          <w:szCs w:val="24"/>
        </w:rPr>
        <w:t>*</w:t>
      </w:r>
      <w:r w:rsidRPr="00A76FB9">
        <w:rPr>
          <w:rFonts w:cstheme="minorHAnsi"/>
          <w:i/>
          <w:sz w:val="24"/>
          <w:szCs w:val="24"/>
        </w:rPr>
        <w:t>This dollar amount is periodically adjusted and may be higher than the amount shown at the time of this printing.</w:t>
      </w:r>
    </w:p>
    <w:p w:rsidR="00A76FB9" w:rsidRDefault="00A76FB9" w:rsidP="00024E5B">
      <w:pPr>
        <w:rPr>
          <w:rFonts w:cstheme="minorHAnsi"/>
          <w:sz w:val="24"/>
          <w:szCs w:val="24"/>
        </w:rPr>
      </w:pPr>
    </w:p>
    <w:p w:rsidR="00D94A95" w:rsidRPr="00A76FB9" w:rsidRDefault="00D94A95" w:rsidP="00024E5B">
      <w:pPr>
        <w:rPr>
          <w:rFonts w:cstheme="minorHAnsi"/>
          <w:sz w:val="24"/>
          <w:szCs w:val="24"/>
        </w:rPr>
      </w:pPr>
      <w:r w:rsidRPr="00A76FB9">
        <w:rPr>
          <w:rFonts w:cstheme="minorHAnsi"/>
          <w:sz w:val="24"/>
          <w:szCs w:val="24"/>
        </w:rPr>
        <w:t>These are just a few ideas on how to reduce your risk of being sued for an employment related matter.  If you’d like information on helping define if a worker is an employee vs a contractor, or exempt vs. non-exempt, then send me an email and I’</w:t>
      </w:r>
      <w:r w:rsidR="003B28EA" w:rsidRPr="00A76FB9">
        <w:rPr>
          <w:rFonts w:cstheme="minorHAnsi"/>
          <w:sz w:val="24"/>
          <w:szCs w:val="24"/>
        </w:rPr>
        <w:t xml:space="preserve">ll forward you </w:t>
      </w:r>
      <w:r w:rsidRPr="00A76FB9">
        <w:rPr>
          <w:rFonts w:cstheme="minorHAnsi"/>
          <w:sz w:val="24"/>
          <w:szCs w:val="24"/>
        </w:rPr>
        <w:t>information on these issues.</w:t>
      </w:r>
    </w:p>
    <w:p w:rsidR="00D94A95" w:rsidRDefault="00D94A95" w:rsidP="00D94A95">
      <w:pPr>
        <w:ind w:left="720"/>
        <w:rPr>
          <w:rFonts w:ascii="Times New Roman" w:hAnsi="Times New Roman" w:cs="Times New Roman"/>
          <w:sz w:val="24"/>
          <w:szCs w:val="24"/>
        </w:rPr>
      </w:pPr>
    </w:p>
    <w:p w:rsidR="004F3C5F" w:rsidRDefault="004F3C5F" w:rsidP="00024E5B">
      <w:pPr>
        <w:rPr>
          <w:rFonts w:cstheme="minorHAnsi"/>
          <w:sz w:val="24"/>
          <w:szCs w:val="24"/>
        </w:rPr>
      </w:pPr>
    </w:p>
    <w:p w:rsidR="004F3C5F" w:rsidRDefault="004F3C5F" w:rsidP="00024E5B">
      <w:pPr>
        <w:rPr>
          <w:rFonts w:cstheme="minorHAnsi"/>
          <w:sz w:val="24"/>
          <w:szCs w:val="24"/>
        </w:rPr>
      </w:pPr>
    </w:p>
    <w:p w:rsidR="00024E5B" w:rsidRPr="00A047FC" w:rsidRDefault="00024E5B" w:rsidP="00024E5B">
      <w:pPr>
        <w:rPr>
          <w:rFonts w:cstheme="minorHAnsi"/>
          <w:sz w:val="24"/>
          <w:szCs w:val="24"/>
        </w:rPr>
      </w:pPr>
      <w:bookmarkStart w:id="0" w:name="_GoBack"/>
      <w:bookmarkEnd w:id="0"/>
      <w:r w:rsidRPr="00A047FC">
        <w:rPr>
          <w:rFonts w:cstheme="minorHAnsi"/>
          <w:sz w:val="24"/>
          <w:szCs w:val="24"/>
        </w:rPr>
        <w:t>Kurt D. Kelley, J.D.</w:t>
      </w:r>
    </w:p>
    <w:p w:rsidR="00024E5B" w:rsidRPr="00A047FC" w:rsidRDefault="00024E5B" w:rsidP="00024E5B">
      <w:pPr>
        <w:rPr>
          <w:rFonts w:cstheme="minorHAnsi"/>
          <w:sz w:val="24"/>
          <w:szCs w:val="24"/>
        </w:rPr>
      </w:pPr>
      <w:r w:rsidRPr="00A047FC">
        <w:rPr>
          <w:rFonts w:cstheme="minorHAnsi"/>
          <w:sz w:val="24"/>
          <w:szCs w:val="24"/>
        </w:rPr>
        <w:t>President, Mobile Insurance</w:t>
      </w:r>
    </w:p>
    <w:p w:rsidR="00024E5B" w:rsidRDefault="00024E5B" w:rsidP="00024E5B">
      <w:pPr>
        <w:rPr>
          <w:rStyle w:val="Hyperlink"/>
          <w:rFonts w:cstheme="minorHAnsi"/>
          <w:sz w:val="24"/>
          <w:szCs w:val="24"/>
        </w:rPr>
      </w:pPr>
      <w:hyperlink r:id="rId7" w:history="1">
        <w:r w:rsidRPr="00B45C00">
          <w:rPr>
            <w:rStyle w:val="Hyperlink"/>
            <w:rFonts w:cstheme="minorHAnsi"/>
            <w:sz w:val="24"/>
            <w:szCs w:val="24"/>
          </w:rPr>
          <w:t>Kurt@MobileAgency.com</w:t>
        </w:r>
      </w:hyperlink>
    </w:p>
    <w:p w:rsidR="00024E5B" w:rsidRDefault="00024E5B" w:rsidP="00024E5B">
      <w:pPr>
        <w:rPr>
          <w:rFonts w:cstheme="minorHAnsi"/>
          <w:sz w:val="24"/>
          <w:szCs w:val="24"/>
        </w:rPr>
      </w:pPr>
      <w:hyperlink r:id="rId8" w:history="1">
        <w:r w:rsidRPr="00C23E39">
          <w:rPr>
            <w:rStyle w:val="Hyperlink"/>
            <w:rFonts w:cstheme="minorHAnsi"/>
            <w:sz w:val="24"/>
            <w:szCs w:val="24"/>
          </w:rPr>
          <w:t>www.mobileagency.com</w:t>
        </w:r>
      </w:hyperlink>
      <w:r>
        <w:rPr>
          <w:rStyle w:val="Hyperlink"/>
          <w:rFonts w:cstheme="minorHAnsi"/>
          <w:sz w:val="24"/>
          <w:szCs w:val="24"/>
        </w:rPr>
        <w:t xml:space="preserve"> </w:t>
      </w:r>
    </w:p>
    <w:p w:rsidR="00024E5B" w:rsidRDefault="00024E5B" w:rsidP="00024E5B">
      <w:pPr>
        <w:rPr>
          <w:rFonts w:cstheme="minorHAnsi"/>
          <w:sz w:val="24"/>
          <w:szCs w:val="24"/>
        </w:rPr>
      </w:pPr>
    </w:p>
    <w:p w:rsidR="00024E5B" w:rsidRDefault="00024E5B" w:rsidP="00024E5B">
      <w:pPr>
        <w:rPr>
          <w:rFonts w:cstheme="minorHAnsi"/>
          <w:sz w:val="24"/>
          <w:szCs w:val="24"/>
        </w:rPr>
      </w:pPr>
      <w:r w:rsidRPr="00552047">
        <w:rPr>
          <w:rFonts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r>
        <w:rPr>
          <w:rFonts w:cstheme="minorHAnsi"/>
          <w:noProof/>
          <w:sz w:val="24"/>
          <w:szCs w:val="24"/>
        </w:rPr>
        <w:drawing>
          <wp:anchor distT="0" distB="0" distL="114300" distR="114300" simplePos="0" relativeHeight="251656704" behindDoc="0" locked="0" layoutInCell="1" allowOverlap="1" wp14:anchorId="5CEB6DB3" wp14:editId="4EDC54C7">
            <wp:simplePos x="0" y="0"/>
            <wp:positionH relativeFrom="column">
              <wp:posOffset>0</wp:posOffset>
            </wp:positionH>
            <wp:positionV relativeFrom="paragraph">
              <wp:posOffset>-3175</wp:posOffset>
            </wp:positionV>
            <wp:extent cx="1249680" cy="1562100"/>
            <wp:effectExtent l="0" t="0" r="7620" b="0"/>
            <wp:wrapSquare wrapText="bothSides"/>
            <wp:docPr id="1" name="Picture 1"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hyperlink r:id="rId10" w:history="1">
        <w:r w:rsidRPr="00C23E39">
          <w:rPr>
            <w:rStyle w:val="Hyperlink"/>
            <w:rFonts w:cstheme="minorHAnsi"/>
            <w:sz w:val="24"/>
            <w:szCs w:val="24"/>
          </w:rPr>
          <w:t>www.manufacturedhousingreview.com</w:t>
        </w:r>
      </w:hyperlink>
    </w:p>
    <w:p w:rsidR="00024E5B" w:rsidRPr="00A047FC" w:rsidRDefault="004F3C5F" w:rsidP="00024E5B">
      <w:pPr>
        <w:rPr>
          <w:rFonts w:cstheme="minorHAnsi"/>
          <w:sz w:val="24"/>
          <w:szCs w:val="24"/>
        </w:rPr>
      </w:pPr>
      <w:r>
        <w:rPr>
          <w:rFonts w:cstheme="minorHAnsi"/>
          <w:noProof/>
          <w:sz w:val="24"/>
          <w:szCs w:val="24"/>
        </w:rPr>
        <w:drawing>
          <wp:anchor distT="0" distB="0" distL="114300" distR="114300" simplePos="0" relativeHeight="251658752" behindDoc="0" locked="0" layoutInCell="1" allowOverlap="1">
            <wp:simplePos x="0" y="0"/>
            <wp:positionH relativeFrom="margin">
              <wp:align>center</wp:align>
            </wp:positionH>
            <wp:positionV relativeFrom="paragraph">
              <wp:posOffset>353695</wp:posOffset>
            </wp:positionV>
            <wp:extent cx="3488690" cy="2289175"/>
            <wp:effectExtent l="0" t="0" r="0" b="0"/>
            <wp:wrapTopAndBottom/>
            <wp:docPr id="2" name="Picture 2" descr="C:\Users\della.holland\AppData\Local\Microsoft\Windows\INetCache\Content.Word\Mobile Logo with contact info (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holland\AppData\Local\Microsoft\Windows\INetCache\Content.Word\Mobile Logo with contact info (2).jpg">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8690" cy="228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E5B" w:rsidRDefault="00024E5B" w:rsidP="00024E5B"/>
    <w:p w:rsidR="00024E5B" w:rsidRDefault="00024E5B" w:rsidP="00D94A95">
      <w:pPr>
        <w:ind w:left="720"/>
        <w:rPr>
          <w:rFonts w:ascii="Times New Roman" w:hAnsi="Times New Roman" w:cs="Times New Roman"/>
          <w:sz w:val="24"/>
          <w:szCs w:val="24"/>
        </w:rPr>
      </w:pPr>
    </w:p>
    <w:sectPr w:rsidR="0002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20C"/>
    <w:multiLevelType w:val="hybridMultilevel"/>
    <w:tmpl w:val="6C7C351C"/>
    <w:lvl w:ilvl="0" w:tplc="15280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18"/>
    <w:rsid w:val="000031EF"/>
    <w:rsid w:val="00006DE8"/>
    <w:rsid w:val="0002127C"/>
    <w:rsid w:val="00024E5B"/>
    <w:rsid w:val="000253C7"/>
    <w:rsid w:val="00044888"/>
    <w:rsid w:val="00050A35"/>
    <w:rsid w:val="00062611"/>
    <w:rsid w:val="000640FC"/>
    <w:rsid w:val="000707A3"/>
    <w:rsid w:val="00070DDE"/>
    <w:rsid w:val="0007387A"/>
    <w:rsid w:val="000760DC"/>
    <w:rsid w:val="00081CB5"/>
    <w:rsid w:val="000A11A5"/>
    <w:rsid w:val="000A5B58"/>
    <w:rsid w:val="000C3E02"/>
    <w:rsid w:val="000D0485"/>
    <w:rsid w:val="000E5827"/>
    <w:rsid w:val="001063D2"/>
    <w:rsid w:val="001167DE"/>
    <w:rsid w:val="00151396"/>
    <w:rsid w:val="00151E0B"/>
    <w:rsid w:val="00157FC4"/>
    <w:rsid w:val="001601D5"/>
    <w:rsid w:val="001805A8"/>
    <w:rsid w:val="00194DAD"/>
    <w:rsid w:val="001A6153"/>
    <w:rsid w:val="001C1201"/>
    <w:rsid w:val="001C5DCA"/>
    <w:rsid w:val="001E5AEA"/>
    <w:rsid w:val="001E7204"/>
    <w:rsid w:val="00215EB9"/>
    <w:rsid w:val="002306D8"/>
    <w:rsid w:val="00235113"/>
    <w:rsid w:val="0023637B"/>
    <w:rsid w:val="002400F8"/>
    <w:rsid w:val="002556DC"/>
    <w:rsid w:val="002609DF"/>
    <w:rsid w:val="00285AC6"/>
    <w:rsid w:val="00291022"/>
    <w:rsid w:val="002A3676"/>
    <w:rsid w:val="002C2F1E"/>
    <w:rsid w:val="002C7217"/>
    <w:rsid w:val="002D751B"/>
    <w:rsid w:val="002F5EE6"/>
    <w:rsid w:val="003114F7"/>
    <w:rsid w:val="00354191"/>
    <w:rsid w:val="0036401E"/>
    <w:rsid w:val="00380681"/>
    <w:rsid w:val="0038134C"/>
    <w:rsid w:val="003A5396"/>
    <w:rsid w:val="003A7B79"/>
    <w:rsid w:val="003B28EA"/>
    <w:rsid w:val="003E510E"/>
    <w:rsid w:val="003F21C4"/>
    <w:rsid w:val="003F3D27"/>
    <w:rsid w:val="003F3ED3"/>
    <w:rsid w:val="0040507E"/>
    <w:rsid w:val="00411AB2"/>
    <w:rsid w:val="0041345F"/>
    <w:rsid w:val="00433EDC"/>
    <w:rsid w:val="0046144F"/>
    <w:rsid w:val="00463659"/>
    <w:rsid w:val="00472FF3"/>
    <w:rsid w:val="004A33BD"/>
    <w:rsid w:val="004B23F7"/>
    <w:rsid w:val="004C046E"/>
    <w:rsid w:val="004C1162"/>
    <w:rsid w:val="004C2D1F"/>
    <w:rsid w:val="004C4562"/>
    <w:rsid w:val="004D3054"/>
    <w:rsid w:val="004E0713"/>
    <w:rsid w:val="004E58BA"/>
    <w:rsid w:val="004F0BD4"/>
    <w:rsid w:val="004F30AA"/>
    <w:rsid w:val="004F3C5F"/>
    <w:rsid w:val="0051639D"/>
    <w:rsid w:val="00524FF7"/>
    <w:rsid w:val="00546DC5"/>
    <w:rsid w:val="0058116A"/>
    <w:rsid w:val="00581ED9"/>
    <w:rsid w:val="00583642"/>
    <w:rsid w:val="005860AE"/>
    <w:rsid w:val="005917A9"/>
    <w:rsid w:val="00596AA5"/>
    <w:rsid w:val="005A3D4E"/>
    <w:rsid w:val="005D0804"/>
    <w:rsid w:val="005F4A23"/>
    <w:rsid w:val="00623D87"/>
    <w:rsid w:val="00623F09"/>
    <w:rsid w:val="006246BD"/>
    <w:rsid w:val="00634EAF"/>
    <w:rsid w:val="006700BB"/>
    <w:rsid w:val="0067544A"/>
    <w:rsid w:val="00684876"/>
    <w:rsid w:val="006B2860"/>
    <w:rsid w:val="006B4AD8"/>
    <w:rsid w:val="006C182D"/>
    <w:rsid w:val="0071709D"/>
    <w:rsid w:val="00717AF3"/>
    <w:rsid w:val="00742DF6"/>
    <w:rsid w:val="00752094"/>
    <w:rsid w:val="007611B9"/>
    <w:rsid w:val="00761583"/>
    <w:rsid w:val="00772FEE"/>
    <w:rsid w:val="00787E77"/>
    <w:rsid w:val="00794066"/>
    <w:rsid w:val="007A5B21"/>
    <w:rsid w:val="007B100E"/>
    <w:rsid w:val="007B1086"/>
    <w:rsid w:val="007C52DC"/>
    <w:rsid w:val="007F4493"/>
    <w:rsid w:val="007F7FF5"/>
    <w:rsid w:val="00840EE6"/>
    <w:rsid w:val="0086386D"/>
    <w:rsid w:val="008768CA"/>
    <w:rsid w:val="00884632"/>
    <w:rsid w:val="008A1B0C"/>
    <w:rsid w:val="008B6983"/>
    <w:rsid w:val="008D61B4"/>
    <w:rsid w:val="008F1067"/>
    <w:rsid w:val="0090796C"/>
    <w:rsid w:val="00930FBE"/>
    <w:rsid w:val="00940C7B"/>
    <w:rsid w:val="0094250D"/>
    <w:rsid w:val="00942C0D"/>
    <w:rsid w:val="00945A07"/>
    <w:rsid w:val="00997F3C"/>
    <w:rsid w:val="009E535D"/>
    <w:rsid w:val="009F2C5B"/>
    <w:rsid w:val="00A326B1"/>
    <w:rsid w:val="00A36C5C"/>
    <w:rsid w:val="00A4163F"/>
    <w:rsid w:val="00A41A01"/>
    <w:rsid w:val="00A4465C"/>
    <w:rsid w:val="00A459D5"/>
    <w:rsid w:val="00A54D0A"/>
    <w:rsid w:val="00A7097E"/>
    <w:rsid w:val="00A76FB9"/>
    <w:rsid w:val="00A85540"/>
    <w:rsid w:val="00A866DD"/>
    <w:rsid w:val="00A96D11"/>
    <w:rsid w:val="00AA2883"/>
    <w:rsid w:val="00AD3C69"/>
    <w:rsid w:val="00AD5064"/>
    <w:rsid w:val="00AE0B86"/>
    <w:rsid w:val="00AE51A0"/>
    <w:rsid w:val="00AF0397"/>
    <w:rsid w:val="00AF3396"/>
    <w:rsid w:val="00B14AC5"/>
    <w:rsid w:val="00B3174E"/>
    <w:rsid w:val="00B35BE1"/>
    <w:rsid w:val="00B51442"/>
    <w:rsid w:val="00B771C0"/>
    <w:rsid w:val="00B836AD"/>
    <w:rsid w:val="00BB5960"/>
    <w:rsid w:val="00BE364E"/>
    <w:rsid w:val="00C00FAE"/>
    <w:rsid w:val="00C15DF9"/>
    <w:rsid w:val="00C331A8"/>
    <w:rsid w:val="00CA2A1B"/>
    <w:rsid w:val="00CA5887"/>
    <w:rsid w:val="00CA7749"/>
    <w:rsid w:val="00CB0970"/>
    <w:rsid w:val="00CF197F"/>
    <w:rsid w:val="00CF2B8E"/>
    <w:rsid w:val="00CF4C12"/>
    <w:rsid w:val="00CF7D18"/>
    <w:rsid w:val="00D00E95"/>
    <w:rsid w:val="00D02181"/>
    <w:rsid w:val="00D30193"/>
    <w:rsid w:val="00D31AA9"/>
    <w:rsid w:val="00D35193"/>
    <w:rsid w:val="00D43E4A"/>
    <w:rsid w:val="00D47B73"/>
    <w:rsid w:val="00D5786C"/>
    <w:rsid w:val="00D72AD2"/>
    <w:rsid w:val="00D754CE"/>
    <w:rsid w:val="00D90E4B"/>
    <w:rsid w:val="00D9251E"/>
    <w:rsid w:val="00D94A95"/>
    <w:rsid w:val="00DA1905"/>
    <w:rsid w:val="00DA7D41"/>
    <w:rsid w:val="00DB1F53"/>
    <w:rsid w:val="00DB798F"/>
    <w:rsid w:val="00DC7D01"/>
    <w:rsid w:val="00DD5844"/>
    <w:rsid w:val="00DE0F91"/>
    <w:rsid w:val="00DF5652"/>
    <w:rsid w:val="00DF7AEF"/>
    <w:rsid w:val="00E02F3B"/>
    <w:rsid w:val="00E07989"/>
    <w:rsid w:val="00E20E98"/>
    <w:rsid w:val="00E453D1"/>
    <w:rsid w:val="00E64D9A"/>
    <w:rsid w:val="00EC20E2"/>
    <w:rsid w:val="00ED441B"/>
    <w:rsid w:val="00EE56AF"/>
    <w:rsid w:val="00EF72CB"/>
    <w:rsid w:val="00F03566"/>
    <w:rsid w:val="00F123E4"/>
    <w:rsid w:val="00F34BCF"/>
    <w:rsid w:val="00F52E1A"/>
    <w:rsid w:val="00F53AD9"/>
    <w:rsid w:val="00F605E6"/>
    <w:rsid w:val="00F63F04"/>
    <w:rsid w:val="00F8330D"/>
    <w:rsid w:val="00F91659"/>
    <w:rsid w:val="00F942D1"/>
    <w:rsid w:val="00F94368"/>
    <w:rsid w:val="00FC2E73"/>
    <w:rsid w:val="00FD7280"/>
    <w:rsid w:val="00FF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65E0"/>
  <w15:docId w15:val="{94C0D1FC-C081-47FA-86AE-2009DC84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AA5"/>
    <w:pPr>
      <w:ind w:left="720"/>
      <w:contextualSpacing/>
    </w:pPr>
  </w:style>
  <w:style w:type="character" w:styleId="Hyperlink">
    <w:name w:val="Hyperlink"/>
    <w:basedOn w:val="DefaultParagraphFont"/>
    <w:uiPriority w:val="99"/>
    <w:unhideWhenUsed/>
    <w:rsid w:val="00024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eagenc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rt@MobileAgenc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manufacturedhousingreview.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Della Holland</cp:lastModifiedBy>
  <cp:revision>2</cp:revision>
  <dcterms:created xsi:type="dcterms:W3CDTF">2019-06-05T14:13:00Z</dcterms:created>
  <dcterms:modified xsi:type="dcterms:W3CDTF">2019-06-05T14:13:00Z</dcterms:modified>
</cp:coreProperties>
</file>